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FE879">
      <w:pPr>
        <w:jc w:val="center"/>
        <w:rPr>
          <w:rFonts w:hint="eastAsia" w:ascii="宋体" w:hAnsi="宋体" w:eastAsia="宋体" w:cs="宋体"/>
          <w:b/>
          <w:color w:val="auto"/>
          <w:sz w:val="40"/>
          <w:szCs w:val="56"/>
          <w:lang w:eastAsia="zh-CN"/>
        </w:rPr>
      </w:pPr>
    </w:p>
    <w:p w14:paraId="0E95BD0A">
      <w:pPr>
        <w:jc w:val="center"/>
        <w:rPr>
          <w:rFonts w:hint="eastAsia" w:ascii="宋体" w:hAnsi="宋体" w:eastAsia="宋体" w:cs="宋体"/>
          <w:b/>
          <w:color w:val="auto"/>
          <w:sz w:val="40"/>
          <w:szCs w:val="56"/>
          <w:lang w:eastAsia="zh-CN"/>
        </w:rPr>
      </w:pPr>
    </w:p>
    <w:p w14:paraId="009E6E1D">
      <w:pPr>
        <w:jc w:val="center"/>
        <w:rPr>
          <w:rFonts w:hint="eastAsia" w:ascii="宋体" w:hAnsi="宋体" w:eastAsia="宋体" w:cs="宋体"/>
          <w:b/>
          <w:color w:val="auto"/>
          <w:sz w:val="40"/>
          <w:szCs w:val="56"/>
          <w:lang w:eastAsia="zh-CN"/>
        </w:rPr>
      </w:pPr>
    </w:p>
    <w:p w14:paraId="77412C2C">
      <w:pPr>
        <w:spacing w:before="221" w:line="221" w:lineRule="auto"/>
        <w:jc w:val="center"/>
        <w:outlineLvl w:val="9"/>
        <w:rPr>
          <w:rFonts w:hint="eastAsia" w:ascii="宋体" w:hAnsi="宋体" w:eastAsia="宋体" w:cs="宋体"/>
          <w:b/>
          <w:bCs/>
          <w:spacing w:val="-2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pacing w:val="-2"/>
          <w:sz w:val="40"/>
          <w:szCs w:val="40"/>
          <w:lang w:val="en-US" w:eastAsia="zh-CN"/>
        </w:rPr>
        <w:t>消防系统维护</w:t>
      </w:r>
      <w:r>
        <w:rPr>
          <w:rFonts w:hint="eastAsia" w:ascii="宋体" w:hAnsi="宋体" w:eastAsia="宋体" w:cs="宋体"/>
          <w:b/>
          <w:bCs/>
          <w:spacing w:val="-2"/>
          <w:sz w:val="40"/>
          <w:szCs w:val="40"/>
        </w:rPr>
        <w:t>合同</w:t>
      </w:r>
    </w:p>
    <w:p w14:paraId="1145FE60">
      <w:pPr>
        <w:spacing w:before="221" w:line="221" w:lineRule="auto"/>
        <w:jc w:val="center"/>
        <w:outlineLvl w:val="9"/>
        <w:rPr>
          <w:rFonts w:hint="eastAsia" w:ascii="宋体" w:hAnsi="宋体" w:eastAsia="宋体" w:cs="宋体"/>
          <w:b/>
          <w:bCs/>
          <w:spacing w:val="-2"/>
          <w:sz w:val="40"/>
          <w:szCs w:val="40"/>
        </w:rPr>
      </w:pPr>
    </w:p>
    <w:p w14:paraId="429DA6B0">
      <w:pPr>
        <w:pStyle w:val="3"/>
        <w:spacing w:line="270" w:lineRule="auto"/>
        <w:rPr>
          <w:rFonts w:hint="eastAsia" w:ascii="宋体" w:hAnsi="宋体" w:eastAsia="宋体" w:cs="宋体"/>
        </w:rPr>
      </w:pPr>
    </w:p>
    <w:p w14:paraId="45910BAB">
      <w:pPr>
        <w:pStyle w:val="3"/>
        <w:spacing w:line="270" w:lineRule="auto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color w:val="auto"/>
          <w:sz w:val="56"/>
          <w:szCs w:val="56"/>
          <w:lang w:eastAsia="zh-CN"/>
        </w:rPr>
        <w:t>合 同 主 要 条 款</w:t>
      </w:r>
    </w:p>
    <w:p w14:paraId="6BC099BB">
      <w:pPr>
        <w:pStyle w:val="3"/>
        <w:spacing w:line="271" w:lineRule="auto"/>
        <w:rPr>
          <w:rFonts w:hint="eastAsia" w:ascii="宋体" w:hAnsi="宋体" w:eastAsia="宋体" w:cs="宋体"/>
        </w:rPr>
      </w:pPr>
    </w:p>
    <w:p w14:paraId="2E93B647">
      <w:pPr>
        <w:pStyle w:val="3"/>
        <w:spacing w:line="276" w:lineRule="auto"/>
        <w:rPr>
          <w:rFonts w:hint="eastAsia" w:ascii="宋体" w:hAnsi="宋体" w:eastAsia="宋体" w:cs="宋体"/>
        </w:rPr>
      </w:pPr>
    </w:p>
    <w:p w14:paraId="1E99F491">
      <w:pPr>
        <w:pStyle w:val="3"/>
        <w:spacing w:line="276" w:lineRule="auto"/>
        <w:rPr>
          <w:rFonts w:hint="eastAsia" w:ascii="宋体" w:hAnsi="宋体" w:eastAsia="宋体" w:cs="宋体"/>
        </w:rPr>
      </w:pPr>
    </w:p>
    <w:p w14:paraId="5B561894">
      <w:pPr>
        <w:pStyle w:val="3"/>
        <w:spacing w:line="276" w:lineRule="auto"/>
        <w:rPr>
          <w:rFonts w:hint="eastAsia" w:ascii="宋体" w:hAnsi="宋体" w:eastAsia="宋体" w:cs="宋体"/>
        </w:rPr>
      </w:pPr>
    </w:p>
    <w:p w14:paraId="1B3CA823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47F55ACF">
      <w:pPr>
        <w:pStyle w:val="2"/>
        <w:ind w:left="0" w:leftChars="0" w:firstLine="0" w:firstLineChars="0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（本格式条款供双方签订合同参考，采购人可根据项目的实际情况增加条款和内容）</w:t>
      </w:r>
    </w:p>
    <w:p w14:paraId="100C8AFC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1C421ABE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199F2B53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35B13249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4BDC2D5E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150FAA69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2A568DC5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5D3863FF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755E038F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2B5CDEFB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1A9BE749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25E212A5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30CD2F4A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30BF2E99">
      <w:pPr>
        <w:pStyle w:val="3"/>
        <w:spacing w:line="277" w:lineRule="auto"/>
        <w:rPr>
          <w:rFonts w:hint="eastAsia" w:ascii="宋体" w:hAnsi="宋体" w:eastAsia="宋体" w:cs="宋体"/>
        </w:rPr>
      </w:pPr>
    </w:p>
    <w:p w14:paraId="41AB231F">
      <w:pPr>
        <w:spacing w:before="104" w:line="220" w:lineRule="auto"/>
        <w:ind w:left="262" w:firstLine="1248" w:firstLineChars="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4"/>
          <w:sz w:val="32"/>
          <w:szCs w:val="32"/>
        </w:rPr>
        <w:t>建筑名称：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</w:t>
      </w:r>
    </w:p>
    <w:p w14:paraId="31949268">
      <w:pPr>
        <w:spacing w:before="240" w:line="220" w:lineRule="auto"/>
        <w:ind w:left="259" w:firstLine="1256" w:firstLineChars="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"/>
          <w:sz w:val="32"/>
          <w:szCs w:val="32"/>
        </w:rPr>
        <w:t>合同编号：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</w:t>
      </w:r>
    </w:p>
    <w:p w14:paraId="2DF012E5">
      <w:pPr>
        <w:spacing w:before="241" w:line="223" w:lineRule="auto"/>
        <w:ind w:left="258" w:firstLine="1256" w:firstLineChars="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"/>
          <w:sz w:val="32"/>
          <w:szCs w:val="32"/>
        </w:rPr>
        <w:t>签订地点：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</w:t>
      </w:r>
    </w:p>
    <w:p w14:paraId="5C5F8A01">
      <w:pPr>
        <w:spacing w:before="235" w:line="222" w:lineRule="auto"/>
        <w:ind w:left="258" w:firstLine="1256" w:firstLineChars="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pacing w:val="-3"/>
          <w:sz w:val="32"/>
          <w:szCs w:val="32"/>
        </w:rPr>
        <w:t>签订时间：</w:t>
      </w:r>
      <w:r>
        <w:rPr>
          <w:rFonts w:hint="eastAsia" w:ascii="宋体" w:hAnsi="宋体" w:eastAsia="宋体" w:cs="宋体"/>
          <w:sz w:val="32"/>
          <w:szCs w:val="32"/>
          <w:u w:val="single" w:color="auto"/>
        </w:rPr>
        <w:t xml:space="preserve">                       </w:t>
      </w:r>
    </w:p>
    <w:p w14:paraId="74C986DB">
      <w:pPr>
        <w:spacing w:line="222" w:lineRule="auto"/>
        <w:rPr>
          <w:rFonts w:hint="eastAsia" w:ascii="宋体" w:hAnsi="宋体" w:eastAsia="宋体" w:cs="宋体"/>
          <w:sz w:val="32"/>
          <w:szCs w:val="32"/>
        </w:rPr>
        <w:sectPr>
          <w:footerReference r:id="rId3" w:type="default"/>
          <w:pgSz w:w="11905" w:h="16840"/>
          <w:pgMar w:top="1440" w:right="1587" w:bottom="1440" w:left="1587" w:header="0" w:footer="724" w:gutter="0"/>
          <w:cols w:space="720" w:num="1"/>
        </w:sectPr>
      </w:pPr>
    </w:p>
    <w:p w14:paraId="3DEFF6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right="1557"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甲方：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                    </w:t>
      </w:r>
    </w:p>
    <w:p w14:paraId="74D90E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88" w:line="360" w:lineRule="auto"/>
        <w:ind w:right="1557"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乙方： 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                    </w:t>
      </w:r>
    </w:p>
    <w:p w14:paraId="009611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0" w:line="360" w:lineRule="auto"/>
        <w:ind w:right="13" w:firstLine="605"/>
        <w:jc w:val="both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甲乙双方根据《中华人民共和国民法典》、《中华人民共和国消防法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》</w:t>
      </w:r>
      <w:r>
        <w:rPr>
          <w:rFonts w:hint="eastAsia" w:ascii="宋体" w:hAnsi="宋体" w:eastAsia="宋体" w:cs="宋体"/>
          <w:spacing w:val="0"/>
          <w:sz w:val="28"/>
          <w:szCs w:val="28"/>
        </w:rPr>
        <w:t>、《社会消防技术服务管理规定》等规定，结合具体情况，经协商达成如下协议，共同遵守：</w:t>
      </w:r>
    </w:p>
    <w:p w14:paraId="5A65C2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6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一、建筑名称：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                   </w:t>
      </w:r>
    </w:p>
    <w:p w14:paraId="51A353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6" w:line="360" w:lineRule="auto"/>
        <w:ind w:left="8" w:right="101" w:firstLine="565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二、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维护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范围： 乙方负责下列第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 项建筑消防设施的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维护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保养技术服务。</w:t>
      </w:r>
    </w:p>
    <w:p w14:paraId="1BB548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ind w:firstLine="577"/>
        <w:textAlignment w:val="baseline"/>
        <w:rPr>
          <w:rFonts w:hint="eastAsia" w:ascii="宋体" w:hAnsi="宋体" w:eastAsia="宋体" w:cs="宋体"/>
          <w:spacing w:val="0"/>
          <w:sz w:val="28"/>
          <w:szCs w:val="28"/>
          <w:u w:val="single" w:color="auto"/>
          <w:lang w:val="en-US" w:eastAsia="zh-CN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1、消防供配电设施；2、火灾自动报警系统；3、消防供水设施；4、消火栓（消防炮）灭火系统；5、自动喷水灭火系统；6、泡沫灭火系统；7、气体灭火系统；8、防排烟系统；9、火灾应急照明和疏散指示标志；10、应急广播系统；11、消防专用电话； 12、防火分隔设施；13、消防电梯；14、细水雾灭火系统；15、干粉灭火系统；16、电气火灾监控系统；17、可燃气体探测报警系统；18、灭火器；19、其他建筑消防设施：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  <w:lang w:val="en-US" w:eastAsia="zh-CN"/>
        </w:rPr>
        <w:t xml:space="preserve">  </w:t>
      </w:r>
    </w:p>
    <w:p w14:paraId="4F7EE0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  <w:lang w:val="en-US" w:eastAsia="zh-CN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spacing w:val="0"/>
          <w:sz w:val="28"/>
          <w:szCs w:val="28"/>
          <w:u w:val="none" w:color="auto"/>
          <w:lang w:val="en-US" w:eastAsia="zh-CN"/>
        </w:rPr>
        <w:t>。</w:t>
      </w:r>
      <w:r>
        <w:rPr>
          <w:rFonts w:hint="eastAsia" w:ascii="宋体" w:hAnsi="宋体" w:eastAsia="宋体" w:cs="宋体"/>
          <w:spacing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296545</wp:posOffset>
                </wp:positionV>
                <wp:extent cx="5597525" cy="16891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7525" cy="168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C76813">
                            <w:pPr>
                              <w:pStyle w:val="3"/>
                              <w:tabs>
                                <w:tab w:val="left" w:pos="8177"/>
                              </w:tabs>
                              <w:spacing w:before="19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.7pt;margin-top:23.35pt;height:13.3pt;width:440.75pt;z-index:251659264;mso-width-relative:page;mso-height-relative:page;" filled="f" stroked="f" coordsize="21600,21600" o:gfxdata="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BToeKtkAAAAIAQAADwAAAAAAAAABACAAAAAiAAAAZHJzL2Rvd25yZXYueG1sUEsB&#10;AhQAFAAAAAgAh07iQBvM1Vq7AQAAcg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5DC76813">
                      <w:pPr>
                        <w:pStyle w:val="3"/>
                        <w:tabs>
                          <w:tab w:val="left" w:pos="8177"/>
                        </w:tabs>
                        <w:spacing w:before="19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BBC7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74" w:line="360" w:lineRule="auto"/>
        <w:ind w:left="2" w:right="98" w:firstLine="57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三、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服务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期限：2025年8月1日至2026年7月31日。</w:t>
      </w:r>
    </w:p>
    <w:p w14:paraId="55D42F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2" w:line="360" w:lineRule="auto"/>
        <w:ind w:left="601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四、甲方的权利、义务：</w:t>
      </w:r>
    </w:p>
    <w:p w14:paraId="5814E0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right="98" w:firstLine="57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1、有权核查乙方维修保养机构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资格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和现场维修保养人员执业资格证书。</w:t>
      </w:r>
    </w:p>
    <w:p w14:paraId="5A749E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3" w:line="360" w:lineRule="auto"/>
        <w:ind w:left="55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2、按规定配备值班和管理人员，落实值班和管理措施。</w:t>
      </w:r>
    </w:p>
    <w:p w14:paraId="5EB8DD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60" w:lineRule="auto"/>
        <w:ind w:left="32" w:right="99" w:firstLine="52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3、掌握建筑消防设施的使用、操作规程，发现消防设施存在问题和故障并及时通知乙方修复。</w:t>
      </w:r>
    </w:p>
    <w:p w14:paraId="599B42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360" w:lineRule="auto"/>
        <w:ind w:left="2" w:right="109" w:firstLine="552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4、根据需要及时组织更换建筑消防设施配件，承担建筑消防设施换件和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维护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保养费用。</w:t>
      </w:r>
    </w:p>
    <w:p w14:paraId="415924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571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五、乙方的权利、义务：</w:t>
      </w:r>
    </w:p>
    <w:p w14:paraId="5144DB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60" w:lineRule="auto"/>
        <w:ind w:left="4" w:firstLine="575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1、具备消防设施维修保养的相应资质、资格，依照法律法规、技术标准和执业准则，开展建筑消防设施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维护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保养技术服务活动，对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维护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保养质量负责。</w:t>
      </w:r>
    </w:p>
    <w:p w14:paraId="7DF6628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6" w:line="360" w:lineRule="auto"/>
        <w:ind w:left="2" w:right="108" w:firstLine="56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pacing w:val="0"/>
          <w:sz w:val="28"/>
          <w:szCs w:val="28"/>
        </w:rPr>
        <w:t>、按照《建筑消防设施的维护管理》（GB25201）等消防技术标准规定的内容、程序、周期等要求，对合同约定范围内的建筑消防设施开展检查、维修、保养、测试等技术服务。</w:t>
      </w:r>
    </w:p>
    <w:p w14:paraId="6BF5F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应熟悉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消防设施和消防水源的现状。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进行所有消防联动试验时，要经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管理部门同意后实施，不能影响正常工作。</w:t>
      </w:r>
    </w:p>
    <w:p w14:paraId="3908A1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所派维保人员应熟悉消防工程中系统的工作原理及操作方法，要具有上岗资质，持证上岗。</w:t>
      </w:r>
    </w:p>
    <w:p w14:paraId="0B721C0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应针对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实际，建立消防设施维保管理制度。</w:t>
      </w:r>
    </w:p>
    <w:p w14:paraId="739AAD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每周工作时间外确保随叫随到，接到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管理部门维修电话2小时内赶到现场，保证设备当天正常运行。系统维修时，如需断水断电，应向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管理部门报告，取得同意并派人现场监督，加强安全防范措施后方能动工。</w:t>
      </w:r>
    </w:p>
    <w:p w14:paraId="71CE33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提供24小时应急处理服务，突发性较大故障30分钟内到达故障现场；一般故障一报修后，2小时内赶到故障现场，一般故障应该立即排除，严重故障应该在24小时内修复，修复前服务单位消防设施设备维修技术人员不得离开现场。</w:t>
      </w:r>
    </w:p>
    <w:p w14:paraId="636E66B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.人员及技术要求。根据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实际，配备足够满足要求的技术人员及足够的设备；维保检测过程中，正确使用各种操作工具，确保维保检测施工人员和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相关人员的人身和财产的安全，必须设置必要的防护和警示标志。高空施工必需配戴安全帽及安全带；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所提供的辅助材料及免费提供的备品、备件质量，必须符合国家相关要求，需与原设备匹配的必须匹配；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重大活动时，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必须按照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要求完成消防系统的保障任务；配合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完成其他消防相关工作。 </w:t>
      </w:r>
    </w:p>
    <w:p w14:paraId="1CE633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pacing w:val="0"/>
          <w:sz w:val="28"/>
          <w:szCs w:val="28"/>
        </w:rPr>
        <w:t>.其他要求。①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提供的服务不低于国家标准。②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应指定专人负责，设立专线值班电话或者其它联系方式，确保全天24小时通讯通畅。③消防系统和设备发生故障，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应做好设备暂停使用和临时应急措施。</w:t>
      </w:r>
    </w:p>
    <w:p w14:paraId="2BEE77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六、维保费用及支付方式、期限：</w:t>
      </w:r>
    </w:p>
    <w:p w14:paraId="47E2CC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合同签订生效并进入服务期后，按季支付服务费，每季度结束后10日内支付上季度服务费；最后1个季度的服务费，在服务期满并验收合格后15个工作日内进行支付。</w:t>
      </w:r>
    </w:p>
    <w:p w14:paraId="24C0DA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2、乙方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须向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出具合法有效的完税发票，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进行支付结算。</w:t>
      </w:r>
    </w:p>
    <w:p w14:paraId="2F34F0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360" w:lineRule="auto"/>
        <w:ind w:firstLine="560" w:firstLineChars="2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结算方式：银行转帐。</w:t>
      </w:r>
    </w:p>
    <w:p w14:paraId="43DAF9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4" w:line="360" w:lineRule="auto"/>
        <w:ind w:left="564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七、违约责任：</w:t>
      </w:r>
    </w:p>
    <w:p w14:paraId="407FAD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1.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必须严格执行国家特种设备有关安全作业标准，确保人身及消防设备安全前提下方可作业。因维保检测施工发生任何意外事故，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不负任何直接或间接责任；维保检测施工中违规造成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相关工作人员人身和财产损害和损失的，由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承担一切经济和法律责任。</w:t>
      </w:r>
    </w:p>
    <w:p w14:paraId="6BFFD0D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2.因维护保养不到位，导致发生意外并造成损失，由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承担由此带来的一切经济损失和法律责任。 </w:t>
      </w:r>
    </w:p>
    <w:p w14:paraId="0E13CC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3.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需按照约定的时限和消防行业的保养规范进行巡检，建立台帐，以备消防管理部门及收费中心监管，如未及时巡查每发现一次扣除服务费2000元。书面或口头通知后，3个工作日还未整改的，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单方有权终止合同，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需按合同总价20%予以赔偿。</w:t>
      </w:r>
    </w:p>
    <w:p w14:paraId="4FD2BF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4.如接到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通知（含电话通知）后未按时赶至现场、或出现维修不及时情况，一般故障每发现一次扣除服务费5000元。</w:t>
      </w:r>
    </w:p>
    <w:p w14:paraId="6F9664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5.因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维护保养工作不到位造成消防设施设备故障，引起监管部门通报的，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单方有权终止合同，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需按合同总价20%予以赔偿。</w:t>
      </w:r>
    </w:p>
    <w:p w14:paraId="1ABCF2C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6.服务期间，因消防责任引起的处罚，由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承担，并赔偿由此带来的经济损失。</w:t>
      </w:r>
    </w:p>
    <w:p w14:paraId="72B641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5" w:line="360" w:lineRule="auto"/>
        <w:ind w:left="37" w:right="21" w:firstLine="50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7.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维护保养工作不符合约定的维护保养标准或要求的，维保应当返工，每次扣除服务费5000元。连续两次（含）维护保养达不到要求的，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甲方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单方有权终止合同，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乙方</w:t>
      </w:r>
      <w:r>
        <w:rPr>
          <w:rFonts w:hint="eastAsia" w:ascii="宋体" w:hAnsi="宋体" w:eastAsia="宋体" w:cs="宋体"/>
          <w:spacing w:val="0"/>
          <w:sz w:val="28"/>
          <w:szCs w:val="28"/>
        </w:rPr>
        <w:t>需按合同总价20%予以赔偿。</w:t>
      </w:r>
    </w:p>
    <w:p w14:paraId="520F7C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8" w:line="360" w:lineRule="auto"/>
        <w:ind w:left="2" w:right="8" w:firstLine="554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八、解决合同纠纷的方式：本合同履行过程中发生争议，双方应协商解决，协商不成时，采用下列方式中的 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 解决。</w:t>
      </w:r>
    </w:p>
    <w:p w14:paraId="65EFB1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1、由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 仲裁机关仲裁；</w:t>
      </w:r>
    </w:p>
    <w:p w14:paraId="70294E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firstLine="560" w:firstLineChars="200"/>
        <w:jc w:val="left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2、向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 xml:space="preserve"> 法院起诉。</w:t>
      </w:r>
    </w:p>
    <w:p w14:paraId="1DFC05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4" w:line="360" w:lineRule="auto"/>
        <w:ind w:left="569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九、双方协商的其他事项：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sz w:val="28"/>
          <w:szCs w:val="28"/>
          <w:u w:val="single" w:color="auto"/>
        </w:rPr>
        <w:t xml:space="preserve">                       </w:t>
      </w:r>
    </w:p>
    <w:p w14:paraId="2E1FF9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7" w:line="360" w:lineRule="auto"/>
        <w:ind w:left="566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十、合同份数：本合同一式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份，甲、乙双方各执</w:t>
      </w:r>
      <w:r>
        <w:rPr>
          <w:rFonts w:hint="eastAsia" w:ascii="宋体" w:hAnsi="宋体" w:eastAsia="宋体" w:cs="宋体"/>
          <w:spacing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sz w:val="28"/>
          <w:szCs w:val="28"/>
        </w:rPr>
        <w:t>份。</w:t>
      </w:r>
    </w:p>
    <w:p w14:paraId="6369CAE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  <w:sectPr>
          <w:footerReference r:id="rId4" w:type="default"/>
          <w:pgSz w:w="11905" w:h="16840"/>
          <w:pgMar w:top="1440" w:right="1587" w:bottom="1440" w:left="1587" w:header="0" w:footer="724" w:gutter="0"/>
          <w:cols w:space="720" w:num="1"/>
        </w:sectPr>
      </w:pPr>
    </w:p>
    <w:p w14:paraId="70927858">
      <w:pPr>
        <w:spacing w:before="64" w:line="223" w:lineRule="auto"/>
        <w:ind w:left="309"/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spacing w:val="0"/>
          <w:sz w:val="28"/>
          <w:szCs w:val="28"/>
          <w:lang w:val="en-US" w:eastAsia="zh-CN"/>
        </w:rPr>
        <w:t>以下无正文</w:t>
      </w:r>
      <w:r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  <w:t>）</w:t>
      </w:r>
    </w:p>
    <w:p w14:paraId="2217BBFF">
      <w:pPr>
        <w:spacing w:before="64" w:line="223" w:lineRule="auto"/>
        <w:ind w:left="309"/>
        <w:rPr>
          <w:rFonts w:hint="eastAsia" w:ascii="宋体" w:hAnsi="宋体" w:eastAsia="宋体" w:cs="宋体"/>
          <w:spacing w:val="0"/>
          <w:sz w:val="28"/>
          <w:szCs w:val="28"/>
        </w:rPr>
      </w:pPr>
    </w:p>
    <w:p w14:paraId="3E2E31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4" w:line="360" w:lineRule="auto"/>
        <w:ind w:firstLine="280" w:firstLineChars="1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甲    方（盖章）：</w:t>
      </w:r>
    </w:p>
    <w:p w14:paraId="4AA71E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26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地    址：</w:t>
      </w:r>
    </w:p>
    <w:p w14:paraId="4FD72F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360" w:lineRule="auto"/>
        <w:ind w:left="27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法定代表人：</w:t>
      </w:r>
    </w:p>
    <w:p w14:paraId="25B8AF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4" w:line="360" w:lineRule="auto"/>
        <w:ind w:left="279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委托代理人：</w:t>
      </w:r>
    </w:p>
    <w:p w14:paraId="249E92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302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电    话：</w:t>
      </w:r>
    </w:p>
    <w:p w14:paraId="0E99B6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27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传    真：</w:t>
      </w:r>
    </w:p>
    <w:p w14:paraId="00E97C5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291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邮    编：</w:t>
      </w:r>
    </w:p>
    <w:p w14:paraId="5C2B64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开户银行：</w:t>
      </w:r>
    </w:p>
    <w:p w14:paraId="4BDE77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7" w:line="360" w:lineRule="auto"/>
        <w:ind w:left="263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账    号：</w:t>
      </w:r>
    </w:p>
    <w:p w14:paraId="52F5DC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7" w:line="360" w:lineRule="auto"/>
        <w:ind w:left="263" w:firstLine="678" w:firstLineChars="300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-2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2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日</w:t>
      </w:r>
    </w:p>
    <w:p w14:paraId="7C264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" w:lineRule="auto"/>
        <w:textAlignment w:val="auto"/>
        <w:rPr>
          <w:rFonts w:hint="eastAsia" w:ascii="宋体" w:hAnsi="宋体" w:eastAsia="宋体" w:cs="宋体"/>
          <w:spacing w:val="0"/>
          <w:sz w:val="28"/>
          <w:szCs w:val="28"/>
          <w:lang w:eastAsia="zh-CN"/>
        </w:rPr>
      </w:pPr>
    </w:p>
    <w:p w14:paraId="730A9AA6">
      <w:pPr>
        <w:pStyle w:val="3"/>
        <w:spacing w:line="14" w:lineRule="auto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br w:type="column"/>
      </w:r>
    </w:p>
    <w:p w14:paraId="1CB24B20">
      <w:pPr>
        <w:spacing w:before="63" w:line="223" w:lineRule="auto"/>
        <w:ind w:left="26"/>
        <w:rPr>
          <w:rFonts w:hint="eastAsia" w:ascii="宋体" w:hAnsi="宋体" w:eastAsia="宋体" w:cs="宋体"/>
          <w:spacing w:val="0"/>
          <w:sz w:val="28"/>
          <w:szCs w:val="28"/>
        </w:rPr>
      </w:pPr>
    </w:p>
    <w:p w14:paraId="2C88B364">
      <w:pPr>
        <w:spacing w:before="63" w:line="223" w:lineRule="auto"/>
        <w:ind w:left="26"/>
        <w:rPr>
          <w:rFonts w:hint="eastAsia" w:ascii="宋体" w:hAnsi="宋体" w:eastAsia="宋体" w:cs="宋体"/>
          <w:spacing w:val="0"/>
          <w:sz w:val="28"/>
          <w:szCs w:val="28"/>
        </w:rPr>
      </w:pPr>
    </w:p>
    <w:p w14:paraId="4E2327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3" w:line="360" w:lineRule="auto"/>
        <w:ind w:left="26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乙    方（盖章）：</w:t>
      </w:r>
    </w:p>
    <w:p w14:paraId="694435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4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地    址：</w:t>
      </w:r>
    </w:p>
    <w:p w14:paraId="709206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8" w:line="360" w:lineRule="auto"/>
        <w:ind w:left="13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法定代表人：</w:t>
      </w:r>
    </w:p>
    <w:p w14:paraId="38F626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4" w:line="360" w:lineRule="auto"/>
        <w:ind w:left="16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委托代理人：</w:t>
      </w:r>
    </w:p>
    <w:p w14:paraId="40691D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38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电    话：</w:t>
      </w:r>
    </w:p>
    <w:p w14:paraId="4FCF4C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传    真：</w:t>
      </w:r>
    </w:p>
    <w:p w14:paraId="1B9B9A4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3" w:line="360" w:lineRule="auto"/>
        <w:ind w:left="27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邮    编：</w:t>
      </w:r>
    </w:p>
    <w:p w14:paraId="364859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3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开户银行：</w:t>
      </w:r>
    </w:p>
    <w:p w14:paraId="555085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6" w:line="360" w:lineRule="auto"/>
        <w:textAlignment w:val="baseline"/>
        <w:rPr>
          <w:rFonts w:hint="eastAsia" w:ascii="宋体" w:hAnsi="宋体" w:eastAsia="宋体" w:cs="宋体"/>
          <w:spacing w:val="0"/>
          <w:sz w:val="28"/>
          <w:szCs w:val="28"/>
        </w:rPr>
      </w:pPr>
      <w:r>
        <w:rPr>
          <w:rFonts w:hint="eastAsia" w:ascii="宋体" w:hAnsi="宋体" w:eastAsia="宋体" w:cs="宋体"/>
          <w:spacing w:val="0"/>
          <w:sz w:val="28"/>
          <w:szCs w:val="28"/>
        </w:rPr>
        <w:t>账    号：</w:t>
      </w:r>
    </w:p>
    <w:p w14:paraId="48674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78" w:firstLineChars="300"/>
        <w:jc w:val="left"/>
        <w:textAlignment w:val="auto"/>
        <w:rPr>
          <w:rFonts w:hint="eastAsia" w:ascii="宋体" w:hAnsi="宋体" w:eastAsia="宋体" w:cs="宋体"/>
          <w:spacing w:val="0"/>
          <w:sz w:val="28"/>
          <w:szCs w:val="28"/>
        </w:rPr>
        <w:sectPr>
          <w:footerReference r:id="rId5" w:type="default"/>
          <w:pgSz w:w="11905" w:h="16840"/>
          <w:pgMar w:top="1440" w:right="1587" w:bottom="1440" w:left="1587" w:header="0" w:footer="724" w:gutter="0"/>
          <w:cols w:equalWidth="0" w:num="2">
            <w:col w:w="4886" w:space="100"/>
            <w:col w:w="3744"/>
          </w:cols>
        </w:sectPr>
      </w:pPr>
      <w:r>
        <w:rPr>
          <w:rFonts w:hint="eastAsia" w:ascii="宋体" w:hAnsi="宋体" w:eastAsia="宋体" w:cs="宋体"/>
          <w:spacing w:val="-27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月</w:t>
      </w:r>
      <w:r>
        <w:rPr>
          <w:rFonts w:hint="eastAsia" w:ascii="宋体" w:hAnsi="宋体" w:eastAsia="宋体" w:cs="宋体"/>
          <w:spacing w:val="22"/>
          <w:sz w:val="28"/>
          <w:szCs w:val="28"/>
        </w:rPr>
        <w:t xml:space="preserve">    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日</w:t>
      </w:r>
    </w:p>
    <w:p w14:paraId="1CB22818">
      <w:pPr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B3609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4E56F7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5426E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5E4B26"/>
    <w:rsid w:val="33AE6E39"/>
    <w:rsid w:val="415E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正文空2格  1."/>
    <w:basedOn w:val="1"/>
    <w:qFormat/>
    <w:uiPriority w:val="0"/>
    <w:pPr>
      <w:widowControl w:val="0"/>
      <w:spacing w:line="360" w:lineRule="auto"/>
      <w:ind w:firstLine="480" w:firstLineChars="200"/>
      <w:jc w:val="both"/>
    </w:pPr>
    <w:rPr>
      <w:rFonts w:hint="eastAsia" w:ascii="宋体" w:hAnsi="Times New Roman" w:eastAsia="仿宋" w:cs="宋体"/>
      <w:sz w:val="28"/>
      <w:szCs w:val="20"/>
      <w:lang w:eastAsia="zh-CN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3513</Words>
  <Characters>3529</Characters>
  <Lines>0</Lines>
  <Paragraphs>0</Paragraphs>
  <TotalTime>3</TotalTime>
  <ScaleCrop>false</ScaleCrop>
  <LinksUpToDate>false</LinksUpToDate>
  <CharactersWithSpaces>4004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2025-03-28T09:33:00Z</dcterms:created>
  <dc:creator>君拂</dc:creator>
  <cp:lastModifiedBy>知子</cp:lastModifiedBy>
  <dcterms:modified xsi:type="dcterms:W3CDTF">2025-06-03T03:10:35Z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E3B4A1B494FC4900A767BF67F20C1B78_11</vt:lpwstr>
  </property>
  <property fmtid="{D5CDD505-2E9C-101B-9397-08002B2CF9AE}" pid="4" name="KSOTemplateDocerSaveRecord">
    <vt:lpwstr>eyJoZGlkIjoiZjhhYjVhZDBmY2UyMWM0NGViOWIxNTA1OTczNjVlYjkifQ==</vt:lpwstr>
  </property>
</Properties>
</file>