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版本号：HQX-2025(016)20250401001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延安监狱新建监舍楼临建设施</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HQX-2025(016)</w:t>
      </w:r>
      <w:r>
        <w:br/>
      </w:r>
      <w:r>
        <w:br/>
      </w:r>
      <w:r>
        <w:br/>
      </w:r>
    </w:p>
    <w:p>
      <w:pPr>
        <w:pStyle w:val="null3"/>
        <w:jc w:val="center"/>
        <w:outlineLvl w:val="2"/>
      </w:pPr>
      <w:r>
        <w:rPr>
          <w:rFonts w:ascii="仿宋_GB2312" w:hAnsi="仿宋_GB2312" w:cs="仿宋_GB2312" w:eastAsia="仿宋_GB2312"/>
          <w:sz w:val="28"/>
          <w:b/>
        </w:rPr>
        <w:t>陕西省延安监狱</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陕西省延安监狱</w:t>
      </w:r>
      <w:r>
        <w:rPr>
          <w:rFonts w:ascii="仿宋_GB2312" w:hAnsi="仿宋_GB2312" w:cs="仿宋_GB2312" w:eastAsia="仿宋_GB2312"/>
        </w:rPr>
        <w:t>委托，拟对</w:t>
      </w:r>
      <w:r>
        <w:rPr>
          <w:rFonts w:ascii="仿宋_GB2312" w:hAnsi="仿宋_GB2312" w:cs="仿宋_GB2312" w:eastAsia="仿宋_GB2312"/>
        </w:rPr>
        <w:t>延安监狱新建监舍楼临建设施</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HQX-2025(016)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延安监狱新建监舍楼临建设施</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本项目为延安监狱新建监舍楼临建设施。施工内容:临时监墙、电网、照明;临时监门;道路;监管值班室等。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采购包1（延安监狱新建监舍楼临建设施）：属于专门面向中小企业采购。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pPr>
        <w:pStyle w:val="null3"/>
      </w:pPr>
      <w:r>
        <w:rPr>
          <w:rFonts w:ascii="仿宋_GB2312" w:hAnsi="仿宋_GB2312" w:cs="仿宋_GB2312" w:eastAsia="仿宋_GB2312"/>
        </w:rPr>
        <w:t>2、供应商须具有良好的商业信誉：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pPr>
        <w:pStyle w:val="null3"/>
      </w:pPr>
      <w:r>
        <w:rPr>
          <w:rFonts w:ascii="仿宋_GB2312" w:hAnsi="仿宋_GB2312" w:cs="仿宋_GB2312" w:eastAsia="仿宋_GB2312"/>
        </w:rPr>
        <w:t>3、供应商须具有健全的财务会计制度：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4、所必需的设备和专业技术能力承诺书：供应商须具有履行合同所必需的设备和专业技术能力,根据自身情况提供承诺书，供应商需在项目电子化交易系统中按要求提供证明资料并进行电子签章；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5、具有依法缴纳税收的良好记录：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6、具有依法缴纳社会保障资金的良好记录：提供递交响应文件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7、没有重大违法记录的书面声明：提供参加本次政府采购活动前三年内在经营活动中没有重大违法记录的书面声明，供应商需在项目电子化交易系统中按要求提供证明资料并进行电子签章；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8、供应商资质要求：供应商须具备【建筑工程】施工总承包三级及以上资质，并具有建设行政主管部门核发的有效安全生产许可证；供应商需在项目电子化交易系统中按要求提供证明资料并进行电子签章；</w:t>
      </w:r>
    </w:p>
    <w:p>
      <w:pPr>
        <w:pStyle w:val="null3"/>
      </w:pPr>
      <w:r>
        <w:rPr>
          <w:rFonts w:ascii="仿宋_GB2312" w:hAnsi="仿宋_GB2312" w:cs="仿宋_GB2312" w:eastAsia="仿宋_GB2312"/>
        </w:rPr>
        <w:t>9、拟派项目经理：拟派项目经理具有【建筑工程】专业二级及以上注册建造师资格，具有合格有效的安全生产考核合格证（B证），且无在建项目，供应商需在项目电子化交易系统中按要求提供证明资料并进行电子签章；</w:t>
      </w:r>
    </w:p>
    <w:p>
      <w:pPr>
        <w:pStyle w:val="null3"/>
      </w:pPr>
      <w:r>
        <w:rPr>
          <w:rFonts w:ascii="仿宋_GB2312" w:hAnsi="仿宋_GB2312" w:cs="仿宋_GB2312" w:eastAsia="仿宋_GB2312"/>
        </w:rPr>
        <w:t>10、官方网站可查询：供应商及拟派项目经理须在“陕西省住房和城乡建设厅”官方网站可查询，供应商需在项目电子化交易系统中按要求提供证明资料并进行电子签章；</w:t>
      </w:r>
    </w:p>
    <w:p>
      <w:pPr>
        <w:pStyle w:val="null3"/>
      </w:pPr>
      <w:r>
        <w:rPr>
          <w:rFonts w:ascii="仿宋_GB2312" w:hAnsi="仿宋_GB2312" w:cs="仿宋_GB2312" w:eastAsia="仿宋_GB2312"/>
        </w:rPr>
        <w:t>11、控股关系：单位负责人为同一人或者存在直接控股、管理关系的不同供应商，不得参加同一合同项下的磋商活动，供应商需在项目电子化交易系统中按要求提供证明资料并进行电子签章；</w:t>
      </w:r>
    </w:p>
    <w:p>
      <w:pPr>
        <w:pStyle w:val="null3"/>
      </w:pPr>
      <w:r>
        <w:rPr>
          <w:rFonts w:ascii="仿宋_GB2312" w:hAnsi="仿宋_GB2312" w:cs="仿宋_GB2312" w:eastAsia="仿宋_GB2312"/>
        </w:rPr>
        <w:t>12、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13、非联合体磋商声明：本项目不接受联合体磋商，供应商需在项目电子化交易系统中按要求提供证明资料并进行电子签章。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陕西省延安监狱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延安市宝塔区柳林镇燕沟赵庄村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贺延伟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0911-2861615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 1 号楼 1004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马梅、梁乐乐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开户名称：陕西恒谦行工程管理咨询有限公司</w:t>
            </w:r>
          </w:p>
          <w:p>
            <w:pPr>
              <w:pStyle w:val="null3"/>
            </w:pPr>
            <w:r>
              <w:rPr>
                <w:rFonts w:ascii="仿宋_GB2312" w:hAnsi="仿宋_GB2312" w:cs="仿宋_GB2312" w:eastAsia="仿宋_GB2312"/>
              </w:rPr>
              <w:t>开户银行：中国建设银行股份有限公司咸阳分行</w:t>
            </w:r>
          </w:p>
          <w:p>
            <w:pPr>
              <w:pStyle w:val="null3"/>
            </w:pPr>
            <w:r>
              <w:rPr>
                <w:rFonts w:ascii="仿宋_GB2312" w:hAnsi="仿宋_GB2312" w:cs="仿宋_GB2312" w:eastAsia="仿宋_GB2312"/>
              </w:rPr>
              <w:t>银行账号：61050163530800000695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本采购包履约保证金为合同金额的3.0%</w:t>
            </w:r>
          </w:p>
          <w:p>
            <w:pPr>
              <w:pStyle w:val="null3"/>
            </w:pPr>
            <w:r>
              <w:rPr>
                <w:rFonts w:ascii="仿宋_GB2312" w:hAnsi="仿宋_GB2312" w:cs="仿宋_GB2312" w:eastAsia="仿宋_GB2312"/>
              </w:rPr>
              <w:t>说明：收取：成交供应商在签订施工合同前，以非现金形式向采购人缴纳履约保证金； 退还：合同工程完工验收后，此履约保证金转化为质量保证金，在缺陷责任期满后，采购人向成交供应商退还此保证金。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代理服务费收费标准：经过双方友好协商，本项目的招标代理服务费为固定总价人民币大写：壹万伍仟元整（小写：15000.00元），由采购人在项目结束后向招标代理机构支付。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陕西省延安监狱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陕西省延安监狱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陕西省延安监狱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按照施工合同执行。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联系人：马梅、梁乐乐</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 1 号楼 1004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1,010,000.00</w:t>
      </w:r>
    </w:p>
    <w:p>
      <w:pPr>
        <w:pStyle w:val="null3"/>
      </w:pPr>
      <w:r>
        <w:rPr>
          <w:rFonts w:ascii="仿宋_GB2312" w:hAnsi="仿宋_GB2312" w:cs="仿宋_GB2312" w:eastAsia="仿宋_GB2312"/>
        </w:rPr>
        <w:t>采购包最高限价（元）: 1,010,000.00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临建设施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标的名称：临建设施</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延安监狱新建监舍楼临建设施施工要求</w:t>
            </w:r>
          </w:p>
        </w:tc>
        <w:tc>
          <w:tcPr>
            <w:tcW w:type="dxa" w:w="2076"/>
          </w:tcPr>
          <w:p>
            <w:pPr>
              <w:pStyle w:val="null3"/>
              <w:jc w:val="both"/>
            </w:pPr>
            <w:r>
              <w:rPr>
                <w:rFonts w:ascii="仿宋_GB2312" w:hAnsi="仿宋_GB2312" w:cs="仿宋_GB2312" w:eastAsia="仿宋_GB2312"/>
                <w:sz w:val="21"/>
              </w:rPr>
              <w:t>1、施工内容</w:t>
            </w:r>
            <w:r>
              <w:rPr>
                <w:rFonts w:ascii="仿宋_GB2312" w:hAnsi="仿宋_GB2312" w:cs="仿宋_GB2312" w:eastAsia="仿宋_GB2312"/>
                <w:sz w:val="21"/>
              </w:rPr>
              <w:t>:临时监墙、电网、照明;临时监门;道路;监管值班室等</w:t>
            </w:r>
            <w:r>
              <w:rPr>
                <w:rFonts w:ascii="仿宋_GB2312" w:hAnsi="仿宋_GB2312" w:cs="仿宋_GB2312" w:eastAsia="仿宋_GB2312"/>
                <w:sz w:val="21"/>
              </w:rPr>
              <w:t>。</w:t>
            </w:r>
          </w:p>
          <w:p>
            <w:pPr>
              <w:pStyle w:val="null3"/>
              <w:jc w:val="both"/>
            </w:pPr>
            <w:r>
              <w:rPr>
                <w:rFonts w:ascii="仿宋_GB2312" w:hAnsi="仿宋_GB2312" w:cs="仿宋_GB2312" w:eastAsia="仿宋_GB2312"/>
              </w:rPr>
              <w:t>2、</w:t>
            </w:r>
            <w:r>
              <w:rPr>
                <w:rFonts w:ascii="仿宋_GB2312" w:hAnsi="仿宋_GB2312" w:cs="仿宋_GB2312" w:eastAsia="仿宋_GB2312"/>
              </w:rPr>
              <w:t>供应商针对本项目的施工，必须达到国家及行业现行技术规范标准，符合国家及行业验收合格标准。</w:t>
            </w:r>
          </w:p>
          <w:p>
            <w:pPr>
              <w:pStyle w:val="null3"/>
              <w:jc w:val="both"/>
            </w:pPr>
            <w:r>
              <w:rPr>
                <w:rFonts w:ascii="仿宋_GB2312" w:hAnsi="仿宋_GB2312" w:cs="仿宋_GB2312" w:eastAsia="仿宋_GB2312"/>
              </w:rPr>
              <w:t>3、质量要求：达到国家强制性合格标准。</w:t>
            </w:r>
          </w:p>
          <w:p>
            <w:pPr>
              <w:pStyle w:val="null3"/>
            </w:pPr>
            <w:r>
              <w:rPr>
                <w:rFonts w:ascii="仿宋_GB2312" w:hAnsi="仿宋_GB2312" w:cs="仿宋_GB2312" w:eastAsia="仿宋_GB2312"/>
              </w:rPr>
              <w:t>4、工期：40日历天。</w:t>
            </w:r>
          </w:p>
          <w:p>
            <w:pPr>
              <w:pStyle w:val="null3"/>
            </w:pPr>
            <w:r>
              <w:rPr>
                <w:rFonts w:ascii="仿宋_GB2312" w:hAnsi="仿宋_GB2312" w:cs="仿宋_GB2312" w:eastAsia="仿宋_GB2312"/>
              </w:rPr>
              <w:t>5、工程缺陷责任期：12  个月。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1、工期：40日历天。 2、本项目付款方式为：合同签订且成交人进入施工现场后，采购人向成交人支付签订合同价款的30%作为预付款（其预付款中已包含安全文明施工措施费），成交人按采购人要求开具增值税发票；根据施工进度付款，工程竣工验收合格后，采购人向成交人支付至签订合同价款的90%，成交人按采购人要求开具增值税发票；工程结算审计后，采购人向成交人付清本项目剩余款项，成交人按采购人要求开具增值税发票； 3、本项目在电子化交易系统最终磋商报价时，需填报磋商总报价，并在附件上传与最终磋商总报价相对应的已标价工程量清单报价表，已标价工程量清单报价表符合磋商文件要求，此表将作为签订合同的附件。本项目采用固定综合单价方式，工程量据实结算，供应商应充分考虑施工过程中价格的风险因素并包含在此次磋商报价中，若因承包方原因产生额外费用，承包方自行承担。 4、中小企业说明： 本项目全部面向中小企业采购。面向中小企业预留金额为1010000.00元，总体预留比例为100.00%，其中面向小微企业预留金额为0.00元，占0.00%。 5、本项目最高投标限价为：1007066.73元，供应商的磋商总报价不得高于此最高投标限价，否则按照不合格标处理。本项目最高投标限价以此处为准。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供应商须具备【建筑工程】施工总承包三级及以上资质，并具有建设行政主管部门核发的有效安全生产许可证；供应商需在项目电子化交易系统中按要求提供证明资料并进行电子签章；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拟派项目经理具有【建筑工程】专业二级及以上注册建造师资格，具有合格有效的安全生产考核合格证（B证），且无在建项目，供应商需在项目电子化交易系统中按要求提供证明资料并进行电子签章；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官方网站可查询</w:t>
            </w:r>
          </w:p>
        </w:tc>
        <w:tc>
          <w:tcPr>
            <w:tcW w:type="dxa" w:w="3322"/>
          </w:tcPr>
          <w:p>
            <w:pPr>
              <w:pStyle w:val="null3"/>
            </w:pPr>
            <w:r>
              <w:rPr>
                <w:rFonts w:ascii="仿宋_GB2312" w:hAnsi="仿宋_GB2312" w:cs="仿宋_GB2312" w:eastAsia="仿宋_GB2312"/>
              </w:rPr>
              <w:t>供应商及拟派项目经理须在“陕西省住房和城乡建设厅”官方网站可查询，供应商需在项目电子化交易系统中按要求提供证明资料并进行电子签章；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单位负责人为同一人或者存在直接控股、管理关系的不同供应商，不得参加同一合同项下的磋商活动，供应商需在项目电子化交易系统中按要求提供证明资料并进行电子签章；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供应商名称应与营业执照、资质证书一致</w:t>
            </w:r>
          </w:p>
        </w:tc>
        <w:tc>
          <w:tcPr>
            <w:tcW w:type="dxa" w:w="1661"/>
          </w:tcPr>
          <w:p>
            <w:pPr>
              <w:pStyle w:val="null3"/>
            </w:pPr>
            <w:r>
              <w:rPr>
                <w:rFonts w:ascii="仿宋_GB2312" w:hAnsi="仿宋_GB2312" w:cs="仿宋_GB2312" w:eastAsia="仿宋_GB2312"/>
              </w:rPr>
              <w:t>响应文件封面 报价函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响应文件需在项目电子化交易系统中按竞争性磋商文件要求签署并进行电子签章。</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供应商每次报价只能有一个有效报价，原则上二次报价为最后报价，且一次报价不得超过最高投标限价，二次报价不得超过一次报价和最高投标限价。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供应商应按照竞争性磋商文件的规定缴纳磋商保证金。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响应文件中未含有采购人不能接受的附加条件的或其他情形。</w:t>
            </w:r>
          </w:p>
        </w:tc>
        <w:tc>
          <w:tcPr>
            <w:tcW w:type="dxa" w:w="1661"/>
          </w:tcPr>
          <w:p>
            <w:pPr>
              <w:pStyle w:val="null3"/>
            </w:pPr>
            <w:r>
              <w:rPr>
                <w:rFonts w:ascii="仿宋_GB2312" w:hAnsi="仿宋_GB2312" w:cs="仿宋_GB2312" w:eastAsia="仿宋_GB2312"/>
              </w:rPr>
              <w:t>响应文件封面 报价函 投标人认为需要提交的其他资料.docx 响应函 供应商承诺书.docx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评审得分相同的，按照最后报价由低到高的顺序推荐。评审得分且最后报价相同的，按照施工组织设计优劣顺序推荐。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近年完成类似项目业绩</w:t>
            </w:r>
          </w:p>
        </w:tc>
        <w:tc>
          <w:tcPr>
            <w:tcW w:type="dxa" w:w="2492"/>
          </w:tcPr>
          <w:p>
            <w:pPr>
              <w:pStyle w:val="null3"/>
            </w:pPr>
            <w:r>
              <w:rPr>
                <w:rFonts w:ascii="仿宋_GB2312" w:hAnsi="仿宋_GB2312" w:cs="仿宋_GB2312" w:eastAsia="仿宋_GB2312"/>
              </w:rPr>
              <w:t>供应商提供自2022年1月1日至本项目响应文件递交截止时间前的类似项目业绩证明材料，每提供1项得1分，最多得3分。未提供的不得分。 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企业近年完成的类似项目业绩汇总表.docx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拟派项目经理具备高级职称得2分；中级职称得1分；其余情况不得分。 评审依据：评审时以供应商提供的加盖供应商公章的拟派项目经理最高职称证书的扫描件或复印件为准，提供多个职称证明材料的，以最高职称材料为准，未提供的不得分。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拟派项目经理简历表.docx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供应商提供自2022年1月1日至本项目响应文件递交截止时间前类似项目业绩证明材料，每提供1项得1分，最多得2分。未提供的不得分。 评审依据：提供合同的复印件或扫描件加盖公章，时间以合同签订时间为准。上述证明文件中须体现项目经理的姓名。（拟派项目经理业绩与企业业绩可重复计分）。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拟派项目经理简历表.docx</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1）项目部组织机构设置合理，配备了相应的管理人员，管理人员包含项目经理、技术负责人、施工员、质量员、安全员、材料员、资料员、财务人员，管理人员均具有相应的岗位证书，满足以上配置要求的得8分； 2）管理人员至少有 1名项目经理、1名技术负责人、1名质量员，1名安全员，其他管理人员（施工员、材料员、资料员、财务人员）缺少一个在满分的基础上扣1分；评审依据：提供身份证和相应岗位证书，评审时以供应商提供加盖公章的证书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项目组人员构成汇总表.docx</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1) 项目部人员岗位职责；[0-5分] 岗位职责明确，得(2.5-5]分； 岗位职责模糊，得(0-2.5]分；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2) 施工方案；[0-15分] 方案全面、具体、可行、科学合理，得(10-15]分； 方案较为合理、规范，得(5-10]分； 方案简单，得(0-5]分。 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3) 施工进度表或施工网络图及确保工期的技术组织措施；[0-6分] 进度计划全面、科学、合理，措施内容科学具体，有针对性，得(3-6]分； 进度计划不够全面、科学、合理，措施内容不够具体，得(0-3]分；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4) 确保工程质量的技术组织措施；[0-10分] 措施内容科学可行，有针对性且内容丰富，得(5-10]分； 措施内容较为科学可行，有针对性，得(0-5]分；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5) 确保安全施工保证措施；[0-7分] 措施内容全面、具体，得(4-7]分； 措施内容不够全面，得(0-4]分； 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施工组织设计6</w:t>
            </w:r>
          </w:p>
        </w:tc>
        <w:tc>
          <w:tcPr>
            <w:tcW w:type="dxa" w:w="2492"/>
          </w:tcPr>
          <w:p>
            <w:pPr>
              <w:pStyle w:val="null3"/>
            </w:pPr>
            <w:r>
              <w:rPr>
                <w:rFonts w:ascii="仿宋_GB2312" w:hAnsi="仿宋_GB2312" w:cs="仿宋_GB2312" w:eastAsia="仿宋_GB2312"/>
              </w:rPr>
              <w:t>6) 确保文明施工及环境保护的技术组织措施；[0-5分] 措施内容科学具体，有针对性，得(3-5]分； 措施内容不够具体，得(0-3]分。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施工组织设计7</w:t>
            </w:r>
          </w:p>
        </w:tc>
        <w:tc>
          <w:tcPr>
            <w:tcW w:type="dxa" w:w="2492"/>
          </w:tcPr>
          <w:p>
            <w:pPr>
              <w:pStyle w:val="null3"/>
            </w:pPr>
            <w:r>
              <w:rPr>
                <w:rFonts w:ascii="仿宋_GB2312" w:hAnsi="仿宋_GB2312" w:cs="仿宋_GB2312" w:eastAsia="仿宋_GB2312"/>
              </w:rPr>
              <w:t>7) 劳动力安排计划情况表；[0-3分] 劳动力安排计划等全面、科学、合理，得(1.5-3]分； 劳动力安排计划等不够全面、科学、合理，得(0-1.5]分； 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施工组织设计8</w:t>
            </w:r>
          </w:p>
        </w:tc>
        <w:tc>
          <w:tcPr>
            <w:tcW w:type="dxa" w:w="2492"/>
          </w:tcPr>
          <w:p>
            <w:pPr>
              <w:pStyle w:val="null3"/>
            </w:pPr>
            <w:r>
              <w:rPr>
                <w:rFonts w:ascii="仿宋_GB2312" w:hAnsi="仿宋_GB2312" w:cs="仿宋_GB2312" w:eastAsia="仿宋_GB2312"/>
              </w:rPr>
              <w:t>8) 施工机械配备投入计划；[0-4分] 施工机械配备全面、具体、可行、科学合理，得(2-4]分； 施工机械配备简单，得(0-2]分。 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详见附件：企业近年完成的类似项目业绩汇总表.docx</w:t>
      </w:r>
    </w:p>
    <w:p>
      <w:pPr>
        <w:pStyle w:val="null3"/>
        <w:ind w:firstLine="960"/>
      </w:pPr>
      <w:r>
        <w:rPr>
          <w:rFonts w:ascii="仿宋_GB2312" w:hAnsi="仿宋_GB2312" w:cs="仿宋_GB2312" w:eastAsia="仿宋_GB2312"/>
        </w:rPr>
        <w:t>详见附件：拟派项目经理简历表.docx</w:t>
      </w:r>
    </w:p>
    <w:p>
      <w:pPr>
        <w:pStyle w:val="null3"/>
        <w:ind w:firstLine="960"/>
      </w:pPr>
      <w:r>
        <w:rPr>
          <w:rFonts w:ascii="仿宋_GB2312" w:hAnsi="仿宋_GB2312" w:cs="仿宋_GB2312" w:eastAsia="仿宋_GB2312"/>
        </w:rPr>
        <w:t>详见附件：项目组人员构成汇总表.docx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详见附件：投标人认为需要提交的其他资料.docx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详见附件：建筑施工合同.docx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