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7CE2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3249" w:right="3249"/>
        <w:jc w:val="center"/>
        <w:outlineLvl w:val="1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bookmarkStart w:id="0" w:name="_Toc9786"/>
      <w:bookmarkStart w:id="1" w:name="_Toc20033"/>
      <w:bookmarkStart w:id="2" w:name="_Toc305"/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28"/>
          <w:szCs w:val="28"/>
          <w:lang w:eastAsia="zh-CN"/>
        </w:rPr>
        <w:t>磋商</w:t>
      </w:r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28"/>
          <w:szCs w:val="28"/>
        </w:rPr>
        <w:t>保证金</w:t>
      </w:r>
      <w:bookmarkEnd w:id="0"/>
      <w:bookmarkEnd w:id="1"/>
      <w:bookmarkEnd w:id="2"/>
    </w:p>
    <w:p w14:paraId="6FF3F43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zh-CN" w:eastAsia="zh-CN" w:bidi="ar-SA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磋商保证金应当以转账或者保函等非现金方式提交。汇款时须注明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采购项目名称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（可简写）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等字样，便于财务查询登记。</w:t>
      </w:r>
    </w:p>
    <w:p w14:paraId="59A065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zh-CN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采用电汇、转账等形式缴纳保证金（以采购代理机构在投标截止时间前到账为准）的，供应商应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同时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①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shd w:val="clear" w:color="auto" w:fill="FFFFFF"/>
        </w:rPr>
        <w:t>投标保证金转账凭证；②开户许可证/基本存款账户信息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装订在响应文件中。</w:t>
      </w:r>
    </w:p>
    <w:p w14:paraId="2DE6321F"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以保函形式缴纳保证金的，保函必须是具有开具保函资格的单位开具的，保函中的有效期和磋商有效期一致，响应文件中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(保函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扫描件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加盖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公章)</w:t>
      </w:r>
      <w:bookmarkStart w:id="3" w:name="_GoBack"/>
      <w:bookmarkEnd w:id="3"/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。</w:t>
      </w:r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E071B"/>
    <w:rsid w:val="4B0E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2025-04-01T08:07:00Z</dcterms:created>
  <dc:creator>晴天sailing</dc:creator>
  <cp:lastModifiedBy>晴天sailing</cp:lastModifiedBy>
  <dcterms:modified xsi:type="dcterms:W3CDTF">2025-04-01T08:08:16Z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F8147A97EF6540A2946390C3811442CA_11</vt:lpwstr>
  </property>
  <property fmtid="{D5CDD505-2E9C-101B-9397-08002B2CF9AE}" pid="4" name="KSOTemplateDocerSaveRecord">
    <vt:lpwstr>eyJoZGlkIjoiNGY2NTBhNzQwMzAxYjlkM2IwNzI3ZTQwYjg2MWFkZDAiLCJ1c2VySWQiOiIyODIwNzU3NDEifQ==</vt:lpwstr>
  </property>
</Properties>
</file>