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版本号：ZX2025-03-4720250331002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2025年陕西省文旅产业运行监测与应急指挥平台运维服务项目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ZX2025-03-47</w:t>
      </w:r>
      <w:r>
        <w:br/>
      </w:r>
      <w:r>
        <w:br/>
      </w:r>
      <w:r>
        <w:br/>
      </w:r>
    </w:p>
    <w:p>
      <w:pPr>
        <w:pStyle w:val="null3"/>
        <w:jc w:val="center"/>
        <w:outlineLvl w:val="2"/>
      </w:pPr>
      <w:r>
        <w:rPr>
          <w:rFonts w:ascii="仿宋_GB2312" w:hAnsi="仿宋_GB2312" w:cs="仿宋_GB2312" w:eastAsia="仿宋_GB2312"/>
          <w:sz w:val="28"/>
          <w:b/>
        </w:rPr>
        <w:t>陕西省文化和旅游数据中心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陕西省文化和旅游数据中心</w:t>
      </w:r>
      <w:r>
        <w:rPr>
          <w:rFonts w:ascii="仿宋_GB2312" w:hAnsi="仿宋_GB2312" w:cs="仿宋_GB2312" w:eastAsia="仿宋_GB2312"/>
        </w:rPr>
        <w:t>委托，拟对</w:t>
      </w:r>
      <w:r>
        <w:rPr>
          <w:rFonts w:ascii="仿宋_GB2312" w:hAnsi="仿宋_GB2312" w:cs="仿宋_GB2312" w:eastAsia="仿宋_GB2312"/>
        </w:rPr>
        <w:t>2025年陕西省文旅产业运行监测与应急指挥平台运维服务项目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ZX2025-03-47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2025年陕西省文旅产业运行监测与应急指挥平台运维服务项目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2025年陕西省文旅产业运行监测与应急指挥平台运维服务项目，1项，具体内容详见磋商文件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采购包1（2025年陕西省文旅产业运行监测与应急指挥平台运维服务项目）：属于专门面向中小企业采购。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1、法定代表人授权委托书：法定代表人授权委托书：法定代表人参加磋商的，须出示身份证；法定代表人授权本单位他人参加磋商的，须提供法定代表人授权委托书及被授权人身份证</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陕西省文化和旅游数据中心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西安市新城区西一路197号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029-87272391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罗永山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采购包1保证金金额：39,003.47元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代理服务费收费标准：1、参照国家计委计价格[2002]1980号及发改办价格[2003]857号通知规定，由成交供应商支付代理服务费。 2、支付方式：成交供应商应在领取通知书的同时，支付本项目代理服务费。3、收款账户如下： 收款单位：陕西正信招标有限公司 开户银行：中国银行股份有限公司西安四府街支行 银行账号：102460065607 4、转账时备注：250347项目服务费。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陕西省文化和旅游数据中心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陕西省文化和旅游数据中心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陕西省文化和旅游数据中心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罗永山</w:t>
      </w:r>
    </w:p>
    <w:p>
      <w:pPr>
        <w:pStyle w:val="null3"/>
      </w:pPr>
      <w:r>
        <w:rPr>
          <w:rFonts w:ascii="仿宋_GB2312" w:hAnsi="仿宋_GB2312" w:cs="仿宋_GB2312" w:eastAsia="仿宋_GB2312"/>
        </w:rPr>
        <w:t>联系电话：029-88110800转8026（邮箱号：2416573385@qq.com）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2025年陕西省文旅产业运行监测与应急指挥平台运维服务项目，1项，具体详见采购要求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1,980,000.00</w:t>
      </w:r>
    </w:p>
    <w:p>
      <w:pPr>
        <w:pStyle w:val="null3"/>
      </w:pPr>
      <w:r>
        <w:rPr>
          <w:rFonts w:ascii="仿宋_GB2312" w:hAnsi="仿宋_GB2312" w:cs="仿宋_GB2312" w:eastAsia="仿宋_GB2312"/>
        </w:rPr>
        <w:t>采购包最高限价（元）: 1,980,000.00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2025年陕西省文旅产业运行监测与应急指挥平台运维服务项目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标的名称：2025年陕西省文旅产业运行监测与应急指挥平台运维服务项目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2025年陕西省文旅产业运行监测与应急指挥平台运维服务项目</w:t>
            </w:r>
          </w:p>
        </w:tc>
        <w:tc>
          <w:tcPr>
            <w:tcW w:type="dxa" w:w="2076"/>
          </w:tcPr>
          <w:p>
            <w:pPr>
              <w:pStyle w:val="null3"/>
              <w:ind w:firstLine="361"/>
              <w:jc w:val="both"/>
            </w:pPr>
            <w:r>
              <w:rPr>
                <w:rFonts w:ascii="仿宋_GB2312" w:hAnsi="仿宋_GB2312" w:cs="仿宋_GB2312" w:eastAsia="仿宋_GB2312"/>
                <w:sz w:val="18"/>
                <w:b/>
              </w:rPr>
              <w:t>一、项目内容及目标</w:t>
            </w:r>
          </w:p>
          <w:p>
            <w:pPr>
              <w:pStyle w:val="null3"/>
              <w:ind w:firstLine="360"/>
              <w:jc w:val="both"/>
            </w:pPr>
            <w:r>
              <w:rPr>
                <w:rFonts w:ascii="仿宋_GB2312" w:hAnsi="仿宋_GB2312" w:cs="仿宋_GB2312" w:eastAsia="仿宋_GB2312"/>
                <w:sz w:val="18"/>
              </w:rPr>
              <w:t>对陕西省文旅产业运行监测与应急指挥平台进行运维保障、人员驻场、数据对接以及其他运维服务等内容。主要是强化陕西省文旅产业运行监测与应急指挥平台运维，确保平台正常、稳定、安全、高效的运行。</w:t>
            </w:r>
          </w:p>
          <w:p>
            <w:pPr>
              <w:pStyle w:val="null3"/>
              <w:ind w:firstLine="361"/>
              <w:jc w:val="both"/>
            </w:pPr>
            <w:r>
              <w:rPr>
                <w:rFonts w:ascii="仿宋_GB2312" w:hAnsi="仿宋_GB2312" w:cs="仿宋_GB2312" w:eastAsia="仿宋_GB2312"/>
                <w:sz w:val="18"/>
                <w:b/>
              </w:rPr>
              <w:t>二、服务内容</w:t>
            </w:r>
          </w:p>
          <w:p>
            <w:pPr>
              <w:pStyle w:val="null3"/>
              <w:ind w:firstLine="360"/>
              <w:jc w:val="both"/>
            </w:pPr>
            <w:r>
              <w:rPr>
                <w:rFonts w:ascii="仿宋_GB2312" w:hAnsi="仿宋_GB2312" w:cs="仿宋_GB2312" w:eastAsia="仿宋_GB2312"/>
                <w:sz w:val="18"/>
              </w:rPr>
              <w:t>（一）平台运维服务</w:t>
            </w:r>
          </w:p>
          <w:p>
            <w:pPr>
              <w:pStyle w:val="null3"/>
              <w:ind w:firstLine="360"/>
              <w:jc w:val="both"/>
            </w:pPr>
            <w:r>
              <w:rPr>
                <w:rFonts w:ascii="仿宋_GB2312" w:hAnsi="仿宋_GB2312" w:cs="仿宋_GB2312" w:eastAsia="仿宋_GB2312"/>
                <w:sz w:val="18"/>
              </w:rPr>
              <w:t>（1）平台运维</w:t>
            </w:r>
          </w:p>
          <w:p>
            <w:pPr>
              <w:pStyle w:val="null3"/>
              <w:ind w:firstLine="360"/>
              <w:jc w:val="both"/>
            </w:pPr>
            <w:r>
              <w:rPr>
                <w:rFonts w:ascii="仿宋_GB2312" w:hAnsi="仿宋_GB2312" w:cs="仿宋_GB2312" w:eastAsia="仿宋_GB2312"/>
                <w:sz w:val="18"/>
              </w:rPr>
              <w:t>提供面向陕西省文旅产业运行监测与应急指挥平台的日常运维和保障，包括日常巡检、重大接待保障、节假日现场值班保障、安全维护保障、平台小规模优化开发和相关增值服务等工作。</w:t>
            </w:r>
          </w:p>
          <w:p>
            <w:pPr>
              <w:pStyle w:val="null3"/>
              <w:ind w:firstLine="360"/>
              <w:jc w:val="both"/>
            </w:pPr>
            <w:r>
              <w:rPr>
                <w:rFonts w:ascii="仿宋_GB2312" w:hAnsi="仿宋_GB2312" w:cs="仿宋_GB2312" w:eastAsia="仿宋_GB2312"/>
                <w:sz w:val="18"/>
              </w:rPr>
              <w:t>（2）人员驻场</w:t>
            </w:r>
          </w:p>
          <w:p>
            <w:pPr>
              <w:pStyle w:val="null3"/>
              <w:ind w:firstLine="360"/>
              <w:jc w:val="both"/>
            </w:pPr>
            <w:r>
              <w:rPr>
                <w:rFonts w:ascii="仿宋_GB2312" w:hAnsi="仿宋_GB2312" w:cs="仿宋_GB2312" w:eastAsia="仿宋_GB2312"/>
                <w:sz w:val="18"/>
              </w:rPr>
              <w:t>提供专业的技术工程师驻场服务，服务内容包括进行平台运维和技术支持，辅助完成其他工作。</w:t>
            </w:r>
          </w:p>
          <w:p>
            <w:pPr>
              <w:pStyle w:val="null3"/>
              <w:ind w:firstLine="360"/>
              <w:jc w:val="both"/>
            </w:pPr>
            <w:r>
              <w:rPr>
                <w:rFonts w:ascii="仿宋_GB2312" w:hAnsi="仿宋_GB2312" w:cs="仿宋_GB2312" w:eastAsia="仿宋_GB2312"/>
                <w:sz w:val="18"/>
              </w:rPr>
              <w:t>（二）数据服务</w:t>
            </w:r>
          </w:p>
          <w:p>
            <w:pPr>
              <w:pStyle w:val="null3"/>
              <w:ind w:firstLine="360"/>
              <w:jc w:val="both"/>
            </w:pPr>
            <w:r>
              <w:rPr>
                <w:rFonts w:ascii="仿宋_GB2312" w:hAnsi="仿宋_GB2312" w:cs="仿宋_GB2312" w:eastAsia="仿宋_GB2312"/>
                <w:sz w:val="18"/>
              </w:rPr>
              <w:t>（1）OTA数据及新媒体数据对接服务</w:t>
            </w:r>
          </w:p>
          <w:p>
            <w:pPr>
              <w:pStyle w:val="null3"/>
              <w:ind w:firstLine="360"/>
              <w:jc w:val="both"/>
            </w:pPr>
            <w:r>
              <w:rPr>
                <w:rFonts w:ascii="仿宋_GB2312" w:hAnsi="仿宋_GB2312" w:cs="仿宋_GB2312" w:eastAsia="仿宋_GB2312"/>
                <w:sz w:val="18"/>
              </w:rPr>
              <w:t>获取对接</w:t>
            </w: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家OTA的酒店及景区评价数据服务，实现对互联网网评数据的接入，支持对网评数据的维护。</w:t>
            </w:r>
          </w:p>
          <w:p>
            <w:pPr>
              <w:pStyle w:val="null3"/>
              <w:ind w:firstLine="360"/>
              <w:jc w:val="both"/>
            </w:pPr>
            <w:r>
              <w:rPr>
                <w:rFonts w:ascii="仿宋_GB2312" w:hAnsi="仿宋_GB2312" w:cs="仿宋_GB2312" w:eastAsia="仿宋_GB2312"/>
                <w:sz w:val="18"/>
              </w:rPr>
              <w:t>对接文旅新媒体（微信公众号）数据监测服务，支持对新媒体数据的维护。</w:t>
            </w:r>
          </w:p>
          <w:p>
            <w:pPr>
              <w:pStyle w:val="null3"/>
              <w:ind w:firstLine="360"/>
              <w:jc w:val="both"/>
            </w:pPr>
            <w:r>
              <w:rPr>
                <w:rFonts w:ascii="仿宋_GB2312" w:hAnsi="仿宋_GB2312" w:cs="仿宋_GB2312" w:eastAsia="仿宋_GB2312"/>
                <w:sz w:val="18"/>
              </w:rPr>
              <w:t>（2）互联网数据及天气数据对接服务</w:t>
            </w:r>
          </w:p>
          <w:p>
            <w:pPr>
              <w:pStyle w:val="null3"/>
              <w:ind w:firstLine="360"/>
              <w:jc w:val="both"/>
            </w:pPr>
            <w:r>
              <w:rPr>
                <w:rFonts w:ascii="仿宋_GB2312" w:hAnsi="仿宋_GB2312" w:cs="仿宋_GB2312" w:eastAsia="仿宋_GB2312"/>
                <w:sz w:val="18"/>
              </w:rPr>
              <w:t>通过对接互联网百度指数，实现网络搜索和出游意向监测，支持对互联网数据的维护；</w:t>
            </w:r>
          </w:p>
          <w:p>
            <w:pPr>
              <w:pStyle w:val="null3"/>
              <w:ind w:firstLine="360"/>
              <w:jc w:val="both"/>
            </w:pPr>
            <w:r>
              <w:rPr>
                <w:rFonts w:ascii="仿宋_GB2312" w:hAnsi="仿宋_GB2312" w:cs="仿宋_GB2312" w:eastAsia="仿宋_GB2312"/>
                <w:sz w:val="18"/>
              </w:rPr>
              <w:t>对接各地市天气数据，支持对天气数据的维护；</w:t>
            </w:r>
          </w:p>
          <w:p>
            <w:pPr>
              <w:pStyle w:val="null3"/>
              <w:ind w:firstLine="360"/>
              <w:jc w:val="both"/>
            </w:pPr>
            <w:r>
              <w:rPr>
                <w:rFonts w:ascii="仿宋_GB2312" w:hAnsi="仿宋_GB2312" w:cs="仿宋_GB2312" w:eastAsia="仿宋_GB2312"/>
                <w:sz w:val="18"/>
              </w:rPr>
              <w:t>（3）住宿数据及一机游三秦数据对接服务</w:t>
            </w:r>
          </w:p>
          <w:p>
            <w:pPr>
              <w:pStyle w:val="null3"/>
              <w:ind w:firstLine="360"/>
              <w:jc w:val="both"/>
            </w:pPr>
            <w:r>
              <w:rPr>
                <w:rFonts w:ascii="仿宋_GB2312" w:hAnsi="仿宋_GB2312" w:cs="仿宋_GB2312" w:eastAsia="仿宋_GB2312"/>
                <w:sz w:val="18"/>
              </w:rPr>
              <w:t>对接陕西区域住宿业数据服务，支持进行住宿数据的维护；</w:t>
            </w:r>
          </w:p>
          <w:p>
            <w:pPr>
              <w:pStyle w:val="null3"/>
              <w:ind w:firstLine="360"/>
              <w:jc w:val="both"/>
            </w:pPr>
            <w:r>
              <w:rPr>
                <w:rFonts w:ascii="仿宋_GB2312" w:hAnsi="仿宋_GB2312" w:cs="仿宋_GB2312" w:eastAsia="仿宋_GB2312"/>
                <w:sz w:val="18"/>
              </w:rPr>
              <w:t>对接一机游三秦数据数据服务，支持进行一机游三秦数据的维护。</w:t>
            </w:r>
          </w:p>
          <w:p>
            <w:pPr>
              <w:pStyle w:val="null3"/>
              <w:ind w:firstLine="360"/>
              <w:jc w:val="both"/>
            </w:pPr>
            <w:r>
              <w:rPr>
                <w:rFonts w:ascii="仿宋_GB2312" w:hAnsi="仿宋_GB2312" w:cs="仿宋_GB2312" w:eastAsia="仿宋_GB2312"/>
                <w:sz w:val="18"/>
              </w:rPr>
              <w:t>（三）其他运维</w:t>
            </w:r>
          </w:p>
          <w:p>
            <w:pPr>
              <w:pStyle w:val="null3"/>
              <w:ind w:firstLine="360"/>
              <w:jc w:val="both"/>
            </w:pPr>
            <w:r>
              <w:rPr>
                <w:rFonts w:ascii="仿宋_GB2312" w:hAnsi="仿宋_GB2312" w:cs="仿宋_GB2312" w:eastAsia="仿宋_GB2312"/>
                <w:sz w:val="18"/>
              </w:rPr>
              <w:t>（1）视频会议服务</w:t>
            </w:r>
          </w:p>
          <w:p>
            <w:pPr>
              <w:pStyle w:val="null3"/>
              <w:ind w:firstLine="360"/>
              <w:jc w:val="both"/>
            </w:pPr>
            <w:r>
              <w:rPr>
                <w:rFonts w:ascii="仿宋_GB2312" w:hAnsi="仿宋_GB2312" w:cs="仿宋_GB2312" w:eastAsia="仿宋_GB2312"/>
                <w:sz w:val="18"/>
              </w:rPr>
              <w:t>按照系统视频会议需求提供视频会议服务，支持300人同时参会、50人同时打开摄像头。</w:t>
            </w:r>
          </w:p>
          <w:p>
            <w:pPr>
              <w:pStyle w:val="null3"/>
              <w:ind w:firstLine="360"/>
              <w:jc w:val="both"/>
            </w:pPr>
            <w:r>
              <w:rPr>
                <w:rFonts w:ascii="仿宋_GB2312" w:hAnsi="仿宋_GB2312" w:cs="仿宋_GB2312" w:eastAsia="仿宋_GB2312"/>
                <w:sz w:val="18"/>
              </w:rPr>
              <w:t>（2）问卷系统服务</w:t>
            </w:r>
          </w:p>
          <w:p>
            <w:pPr>
              <w:pStyle w:val="null3"/>
              <w:ind w:firstLine="360"/>
              <w:jc w:val="both"/>
            </w:pPr>
            <w:r>
              <w:rPr>
                <w:rFonts w:ascii="仿宋_GB2312" w:hAnsi="仿宋_GB2312" w:cs="仿宋_GB2312" w:eastAsia="仿宋_GB2312"/>
                <w:sz w:val="18"/>
              </w:rPr>
              <w:t>提供问卷系统线上服务，服务支持进行问卷配置、问卷数据分析等。</w:t>
            </w:r>
          </w:p>
          <w:p>
            <w:pPr>
              <w:pStyle w:val="null3"/>
              <w:ind w:firstLine="360"/>
              <w:jc w:val="both"/>
            </w:pPr>
            <w:r>
              <w:rPr>
                <w:rFonts w:ascii="仿宋_GB2312" w:hAnsi="仿宋_GB2312" w:cs="仿宋_GB2312" w:eastAsia="仿宋_GB2312"/>
                <w:sz w:val="18"/>
              </w:rPr>
              <w:t>（3）数据采集系统接口对接服务</w:t>
            </w:r>
          </w:p>
          <w:p>
            <w:pPr>
              <w:pStyle w:val="null3"/>
              <w:ind w:firstLine="360"/>
              <w:jc w:val="both"/>
            </w:pPr>
            <w:r>
              <w:rPr>
                <w:rFonts w:ascii="仿宋_GB2312" w:hAnsi="仿宋_GB2312" w:cs="仿宋_GB2312" w:eastAsia="仿宋_GB2312"/>
                <w:sz w:val="18"/>
              </w:rPr>
              <w:t>对接陕西部分团队数据服务，支持进行团队数据的维护；</w:t>
            </w:r>
          </w:p>
          <w:p>
            <w:pPr>
              <w:pStyle w:val="null3"/>
              <w:ind w:firstLine="360"/>
              <w:jc w:val="both"/>
            </w:pPr>
            <w:r>
              <w:rPr>
                <w:rFonts w:ascii="仿宋_GB2312" w:hAnsi="仿宋_GB2312" w:cs="仿宋_GB2312" w:eastAsia="仿宋_GB2312"/>
                <w:sz w:val="18"/>
              </w:rPr>
              <w:t>（4）通道服务</w:t>
            </w:r>
          </w:p>
          <w:p>
            <w:pPr>
              <w:pStyle w:val="null3"/>
              <w:ind w:firstLine="360"/>
              <w:jc w:val="both"/>
            </w:pPr>
            <w:r>
              <w:rPr>
                <w:rFonts w:ascii="仿宋_GB2312" w:hAnsi="仿宋_GB2312" w:cs="仿宋_GB2312" w:eastAsia="仿宋_GB2312"/>
                <w:sz w:val="18"/>
              </w:rPr>
              <w:t>对平台的3000路视频通道进行持续性的运维保障服务；</w:t>
            </w:r>
          </w:p>
          <w:p>
            <w:pPr>
              <w:pStyle w:val="null3"/>
              <w:ind w:firstLine="360"/>
              <w:jc w:val="both"/>
            </w:pPr>
            <w:r>
              <w:rPr>
                <w:rFonts w:ascii="仿宋_GB2312" w:hAnsi="仿宋_GB2312" w:cs="仿宋_GB2312" w:eastAsia="仿宋_GB2312"/>
                <w:sz w:val="18"/>
              </w:rPr>
              <w:t>（5）短信服务</w:t>
            </w:r>
          </w:p>
          <w:p>
            <w:pPr>
              <w:pStyle w:val="null3"/>
              <w:ind w:firstLine="360"/>
              <w:jc w:val="both"/>
            </w:pPr>
            <w:r>
              <w:rPr>
                <w:rFonts w:ascii="仿宋_GB2312" w:hAnsi="仿宋_GB2312" w:cs="仿宋_GB2312" w:eastAsia="仿宋_GB2312"/>
                <w:sz w:val="18"/>
              </w:rPr>
              <w:t>提供平台的文本短信服务及语音短信服务，用于平台登录验证、预警提示、会议邀请等短信服务。</w:t>
            </w:r>
          </w:p>
          <w:p>
            <w:pPr>
              <w:pStyle w:val="null3"/>
              <w:ind w:firstLine="360"/>
              <w:jc w:val="both"/>
            </w:pPr>
            <w:r>
              <w:rPr>
                <w:rFonts w:ascii="仿宋_GB2312" w:hAnsi="仿宋_GB2312" w:cs="仿宋_GB2312" w:eastAsia="仿宋_GB2312"/>
                <w:sz w:val="18"/>
              </w:rPr>
              <w:t>备注：上述涉及到对接内容，采购人协调对接事项的相关信息，所产生的费用由供应商承担。</w:t>
            </w:r>
          </w:p>
          <w:p>
            <w:pPr>
              <w:pStyle w:val="null3"/>
              <w:ind w:firstLine="361"/>
              <w:jc w:val="both"/>
            </w:pPr>
            <w:r>
              <w:rPr>
                <w:rFonts w:ascii="仿宋_GB2312" w:hAnsi="仿宋_GB2312" w:cs="仿宋_GB2312" w:eastAsia="仿宋_GB2312"/>
                <w:sz w:val="18"/>
                <w:b/>
              </w:rPr>
              <w:t>三、交付及服务期限</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交付</w:t>
            </w:r>
          </w:p>
          <w:p>
            <w:pPr>
              <w:pStyle w:val="null3"/>
              <w:ind w:firstLine="360"/>
              <w:jc w:val="both"/>
            </w:pPr>
            <w:r>
              <w:rPr>
                <w:rFonts w:ascii="仿宋_GB2312" w:hAnsi="仿宋_GB2312" w:cs="仿宋_GB2312" w:eastAsia="仿宋_GB2312"/>
                <w:sz w:val="18"/>
              </w:rPr>
              <w:t>本次项目主要为保障系统稳定运行的运维服务和数据服务，项目交付周期为30日历天，验收前需要核验各项服务提供的内容。</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服务内容周期</w:t>
            </w:r>
          </w:p>
          <w:tbl>
            <w:tblPr>
              <w:tblBorders>
                <w:top w:val="none" w:color="000000" w:sz="4"/>
                <w:left w:val="none" w:color="000000" w:sz="4"/>
                <w:bottom w:val="none" w:color="000000" w:sz="4"/>
                <w:right w:val="none" w:color="000000" w:sz="4"/>
                <w:insideH w:val="none"/>
                <w:insideV w:val="none"/>
              </w:tblBorders>
            </w:tblPr>
            <w:tblGrid>
              <w:gridCol w:w="304"/>
              <w:gridCol w:w="266"/>
              <w:gridCol w:w="361"/>
              <w:gridCol w:w="702"/>
              <w:gridCol w:w="228"/>
            </w:tblGrid>
            <w:tr>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项目</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模块</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服务内容</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详细描述</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服务</w:t>
                  </w:r>
                </w:p>
                <w:p>
                  <w:pPr>
                    <w:pStyle w:val="null3"/>
                    <w:jc w:val="center"/>
                  </w:pPr>
                  <w:r>
                    <w:rPr>
                      <w:rFonts w:ascii="仿宋_GB2312" w:hAnsi="仿宋_GB2312" w:cs="仿宋_GB2312" w:eastAsia="仿宋_GB2312"/>
                      <w:sz w:val="18"/>
                    </w:rPr>
                    <w:t>周期</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2025</w:t>
                  </w:r>
                  <w:r>
                    <w:rPr>
                      <w:rFonts w:ascii="仿宋_GB2312" w:hAnsi="仿宋_GB2312" w:cs="仿宋_GB2312" w:eastAsia="仿宋_GB2312"/>
                      <w:sz w:val="18"/>
                    </w:rPr>
                    <w:t>年陕西省文旅产业运行监测与应急指挥平台运维服务项目</w:t>
                  </w: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平台</w:t>
                  </w:r>
                </w:p>
                <w:p>
                  <w:pPr>
                    <w:pStyle w:val="null3"/>
                    <w:jc w:val="center"/>
                  </w:pPr>
                  <w:r>
                    <w:rPr>
                      <w:rFonts w:ascii="仿宋_GB2312" w:hAnsi="仿宋_GB2312" w:cs="仿宋_GB2312" w:eastAsia="仿宋_GB2312"/>
                      <w:sz w:val="18"/>
                    </w:rPr>
                    <w:t>运维</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平台运维</w:t>
                  </w:r>
                </w:p>
                <w:p>
                  <w:pPr>
                    <w:pStyle w:val="null3"/>
                    <w:jc w:val="center"/>
                  </w:pPr>
                  <w:r>
                    <w:rPr>
                      <w:rFonts w:ascii="仿宋_GB2312" w:hAnsi="仿宋_GB2312" w:cs="仿宋_GB2312" w:eastAsia="仿宋_GB2312"/>
                      <w:sz w:val="18"/>
                    </w:rPr>
                    <w:t>服务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负责建设平台的日常维护、安全保障、节假日保障、重大接待保障、较小平台开发项目等。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13</w:t>
                  </w:r>
                  <w:r>
                    <w:rPr>
                      <w:rFonts w:ascii="仿宋_GB2312" w:hAnsi="仿宋_GB2312" w:cs="仿宋_GB2312" w:eastAsia="仿宋_GB2312"/>
                      <w:sz w:val="18"/>
                    </w:rPr>
                    <w:t>个月</w:t>
                  </w:r>
                </w:p>
              </w:tc>
            </w:tr>
            <w:tr>
              <w:tc>
                <w:tcPr>
                  <w:tcW w:type="dxa" w:w="30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人员驻场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派驻一名技术支持运维工程师驻场服务。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24</w:t>
                  </w:r>
                  <w:r>
                    <w:rPr>
                      <w:rFonts w:ascii="仿宋_GB2312" w:hAnsi="仿宋_GB2312" w:cs="仿宋_GB2312" w:eastAsia="仿宋_GB2312"/>
                      <w:sz w:val="18"/>
                    </w:rPr>
                    <w:t>个月</w:t>
                  </w:r>
                </w:p>
              </w:tc>
            </w:tr>
            <w:tr>
              <w:tc>
                <w:tcPr>
                  <w:tcW w:type="dxa" w:w="304"/>
                  <w:vMerge/>
                  <w:tcBorders>
                    <w:top w:val="none" w:color="000000" w:sz="4"/>
                    <w:left w:val="singl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数据服务</w:t>
                  </w:r>
                </w:p>
              </w:tc>
              <w:tc>
                <w:tcPr>
                  <w:tcW w:type="dxa" w:w="3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数据对接服务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家OTA的酒店及景区评价数据。</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24</w:t>
                  </w:r>
                  <w:r>
                    <w:rPr>
                      <w:rFonts w:ascii="仿宋_GB2312" w:hAnsi="仿宋_GB2312" w:cs="仿宋_GB2312" w:eastAsia="仿宋_GB2312"/>
                      <w:sz w:val="18"/>
                    </w:rPr>
                    <w:t>个月</w:t>
                  </w:r>
                </w:p>
              </w:tc>
            </w:tr>
            <w:tr>
              <w:tc>
                <w:tcPr>
                  <w:tcW w:type="dxa" w:w="30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网络搜索数据和出游意向数据对接服务、天气数据采集服务、新媒体数据对接服务。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24</w:t>
                  </w:r>
                  <w:r>
                    <w:rPr>
                      <w:rFonts w:ascii="仿宋_GB2312" w:hAnsi="仿宋_GB2312" w:cs="仿宋_GB2312" w:eastAsia="仿宋_GB2312"/>
                      <w:sz w:val="18"/>
                    </w:rPr>
                    <w:t>个月</w:t>
                  </w:r>
                </w:p>
              </w:tc>
            </w:tr>
            <w:tr>
              <w:tc>
                <w:tcPr>
                  <w:tcW w:type="dxa" w:w="30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住宿业数据、一机游三秦数据对接服务。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24</w:t>
                  </w:r>
                  <w:r>
                    <w:rPr>
                      <w:rFonts w:ascii="仿宋_GB2312" w:hAnsi="仿宋_GB2312" w:cs="仿宋_GB2312" w:eastAsia="仿宋_GB2312"/>
                      <w:sz w:val="18"/>
                    </w:rPr>
                    <w:t>个月</w:t>
                  </w:r>
                </w:p>
              </w:tc>
            </w:tr>
            <w:tr>
              <w:tc>
                <w:tcPr>
                  <w:tcW w:type="dxa" w:w="304"/>
                  <w:vMerge/>
                  <w:tcBorders>
                    <w:top w:val="none" w:color="000000" w:sz="4"/>
                    <w:left w:val="singl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其他运维</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视频会议</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视频会议300人参会、可同时打开视频人数50人</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24</w:t>
                  </w:r>
                  <w:r>
                    <w:rPr>
                      <w:rFonts w:ascii="仿宋_GB2312" w:hAnsi="仿宋_GB2312" w:cs="仿宋_GB2312" w:eastAsia="仿宋_GB2312"/>
                      <w:sz w:val="18"/>
                    </w:rPr>
                    <w:t>个月</w:t>
                  </w:r>
                </w:p>
              </w:tc>
            </w:tr>
            <w:tr>
              <w:tc>
                <w:tcPr>
                  <w:tcW w:type="dxa" w:w="30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问卷系统服务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提供问卷系统线上服务，支持进行问卷配置、问卷数据分析等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30</w:t>
                  </w:r>
                  <w:r>
                    <w:rPr>
                      <w:rFonts w:ascii="仿宋_GB2312" w:hAnsi="仿宋_GB2312" w:cs="仿宋_GB2312" w:eastAsia="仿宋_GB2312"/>
                      <w:sz w:val="18"/>
                    </w:rPr>
                    <w:t>个月</w:t>
                  </w:r>
                </w:p>
              </w:tc>
            </w:tr>
            <w:tr>
              <w:tc>
                <w:tcPr>
                  <w:tcW w:type="dxa" w:w="30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数据采集系统接口对接服务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数据采集系统接口服务费用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24</w:t>
                  </w:r>
                  <w:r>
                    <w:rPr>
                      <w:rFonts w:ascii="仿宋_GB2312" w:hAnsi="仿宋_GB2312" w:cs="仿宋_GB2312" w:eastAsia="仿宋_GB2312"/>
                      <w:sz w:val="18"/>
                    </w:rPr>
                    <w:t>个月</w:t>
                  </w:r>
                </w:p>
              </w:tc>
            </w:tr>
            <w:tr>
              <w:tc>
                <w:tcPr>
                  <w:tcW w:type="dxa" w:w="30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视频通道</w:t>
                  </w:r>
                </w:p>
                <w:p>
                  <w:pPr>
                    <w:pStyle w:val="null3"/>
                    <w:jc w:val="left"/>
                  </w:pPr>
                  <w:r>
                    <w:rPr>
                      <w:rFonts w:ascii="仿宋_GB2312" w:hAnsi="仿宋_GB2312" w:cs="仿宋_GB2312" w:eastAsia="仿宋_GB2312"/>
                      <w:sz w:val="18"/>
                    </w:rPr>
                    <w:t>（3000个通道）</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3000</w:t>
                  </w:r>
                  <w:r>
                    <w:rPr>
                      <w:rFonts w:ascii="仿宋_GB2312" w:hAnsi="仿宋_GB2312" w:cs="仿宋_GB2312" w:eastAsia="仿宋_GB2312"/>
                      <w:sz w:val="18"/>
                    </w:rPr>
                    <w:t>个视频通道的授权费用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6</w:t>
                  </w:r>
                  <w:r>
                    <w:rPr>
                      <w:rFonts w:ascii="仿宋_GB2312" w:hAnsi="仿宋_GB2312" w:cs="仿宋_GB2312" w:eastAsia="仿宋_GB2312"/>
                      <w:sz w:val="18"/>
                    </w:rPr>
                    <w:t>个月</w:t>
                  </w:r>
                </w:p>
              </w:tc>
            </w:tr>
            <w:tr>
              <w:tc>
                <w:tcPr>
                  <w:tcW w:type="dxa" w:w="30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短信服务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平台登录验证、预警提示、会议邀请等短信服务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24</w:t>
                  </w:r>
                  <w:r>
                    <w:rPr>
                      <w:rFonts w:ascii="仿宋_GB2312" w:hAnsi="仿宋_GB2312" w:cs="仿宋_GB2312" w:eastAsia="仿宋_GB2312"/>
                      <w:sz w:val="18"/>
                    </w:rPr>
                    <w:t>个月</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1、项目交付周期为30日历日； 2、项目服务周期为24个月，其中平台运维服务为13个月、问卷系统服务为30个月、视频通道（3000个通道）为6个月，详细时间节点以合同为准。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陕西省文化和旅游数据中心指定地点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版响应文件，正本壹份、副本贰份。若线上电子响应文件与纸质响应文件不一致的，以线上电子响应文件为准；若正本和副本不符，以正本为准。线下递交文件时间：详见本项目磋商公告提交响应文件截止时间；线下递交文件地点：西安市莲湖区环城西路南段元晟合中心6层； 2、磋商保证金注意事项：（1）磋商保证金须从供应商户名支付，如从个人户名或非供应商户名支付，将被拒绝，视为自动放弃投标权利（该个人是供应商的情形除外）；以保函形式交纳磋商保证金的，供应商应在磋商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连带责任；（2）磋商保证金的提交金额、时间不满足磋商文件要求的，响应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自2024年3月1日以来至少一个月的纳税证明或完税证明，纳税证明或完税证明上应有代收机构或税务机关的公章或业务专用章；其他组织和自然人提供自2024年3月1日以来至少一个月缴纳税收的凭据；依法免税的或者依法不需缴税的供应商应提供相关文件证明；③社会保障资金缴纳证明：提供自2024年3月1日以来至少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有效的2023年度或2024年度审计报告（成立时间至提交响应文件截止时间不足一年的可提供成立后任意时段的资产负债表），或提交自2024年9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法定代表人授权委托书：法定代表人参加磋商的，须出示身份证；法定代表人授权本单位他人参加磋商的，须提供法定代表人授权委托书及被授权人身份证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(3)文件有效期不足的或无有效期的；(4)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商务应答表 技术响应偏离表.docx 投标担保函、履约担保函、公章授权书（若有）.docx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整体运维服务方案</w:t>
            </w:r>
          </w:p>
        </w:tc>
        <w:tc>
          <w:tcPr>
            <w:tcW w:type="dxa" w:w="2492"/>
          </w:tcPr>
          <w:p>
            <w:pPr>
              <w:pStyle w:val="null3"/>
            </w:pPr>
            <w:r>
              <w:rPr>
                <w:rFonts w:ascii="仿宋_GB2312" w:hAnsi="仿宋_GB2312" w:cs="仿宋_GB2312" w:eastAsia="仿宋_GB2312"/>
              </w:rPr>
              <w:t>供应商对本项目的运维目标、运维思路、原则、特点具有清晰透彻的理解，提供完整详细的服务方案、工作流程，及完善的运维管理制度。 满足磋商文件要求，无瑕疵：10分； 方案内容存在1处瑕疵：8分； 方案内容存在2处瑕疵：6分； 方案内容存在3处瑕疵：4分； 方案内容存在4处瑕疵：2分； 未提供或内容存在5处及以上瑕疵：0分。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1整体运维服务方案.docx</w:t>
            </w:r>
          </w:p>
        </w:tc>
      </w:tr>
      <w:tr>
        <w:tc>
          <w:tcPr>
            <w:tcW w:type="dxa" w:w="831"/>
            <w:vMerge/>
          </w:tcPr>
          <w:p/>
        </w:tc>
        <w:tc>
          <w:tcPr>
            <w:tcW w:type="dxa" w:w="1661"/>
          </w:tcPr>
          <w:p>
            <w:pPr>
              <w:pStyle w:val="null3"/>
            </w:pPr>
            <w:r>
              <w:rPr>
                <w:rFonts w:ascii="仿宋_GB2312" w:hAnsi="仿宋_GB2312" w:cs="仿宋_GB2312" w:eastAsia="仿宋_GB2312"/>
              </w:rPr>
              <w:t>平台运维能力</w:t>
            </w:r>
          </w:p>
        </w:tc>
        <w:tc>
          <w:tcPr>
            <w:tcW w:type="dxa" w:w="2492"/>
          </w:tcPr>
          <w:p>
            <w:pPr>
              <w:pStyle w:val="null3"/>
            </w:pPr>
            <w:r>
              <w:rPr>
                <w:rFonts w:ascii="仿宋_GB2312" w:hAnsi="仿宋_GB2312" w:cs="仿宋_GB2312" w:eastAsia="仿宋_GB2312"/>
              </w:rPr>
              <w:t>供应商针对本项目提供平台运维能力，至少包括：系统日常巡检、重大接待保障、节假日值班、安全维护及优化开发等方面的综合能力，确保平台稳定高效运行。 满足磋商文件要求，无瑕疵：10分； 内容存在1处瑕疵：8分； 内容存在2处瑕疵：6分； 内容存在3处瑕疵：4分； 内容存在4处瑕疵：2分； 未提供或内容存在5处及以上瑕疵：0分。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2平台运维能力.docx</w:t>
            </w:r>
          </w:p>
        </w:tc>
      </w:tr>
      <w:tr>
        <w:tc>
          <w:tcPr>
            <w:tcW w:type="dxa" w:w="831"/>
            <w:vMerge/>
          </w:tcPr>
          <w:p/>
        </w:tc>
        <w:tc>
          <w:tcPr>
            <w:tcW w:type="dxa" w:w="1661"/>
          </w:tcPr>
          <w:p>
            <w:pPr>
              <w:pStyle w:val="null3"/>
            </w:pPr>
            <w:r>
              <w:rPr>
                <w:rFonts w:ascii="仿宋_GB2312" w:hAnsi="仿宋_GB2312" w:cs="仿宋_GB2312" w:eastAsia="仿宋_GB2312"/>
              </w:rPr>
              <w:t>对接方案</w:t>
            </w:r>
          </w:p>
        </w:tc>
        <w:tc>
          <w:tcPr>
            <w:tcW w:type="dxa" w:w="2492"/>
          </w:tcPr>
          <w:p>
            <w:pPr>
              <w:pStyle w:val="null3"/>
            </w:pPr>
            <w:r>
              <w:rPr>
                <w:rFonts w:ascii="仿宋_GB2312" w:hAnsi="仿宋_GB2312" w:cs="仿宋_GB2312" w:eastAsia="仿宋_GB2312"/>
              </w:rPr>
              <w:t>供应商针对本项目提供对接方案，在OTA、新媒体、互联网搜索、天气、住宿业及“一机游三秦”等数据对接中的技术能力。至少包括：数据接口兼容性、数据更新频率、异常处理机制及数据安全保障措施。 满足磋商文件要求，无瑕疵：10分； 方案内容存在1处瑕疵：8分； 方案内容存在2处瑕疵：6分； 方案内容存在3处瑕疵：4分； 方案内容存在4处瑕疵：2分； 未提供或内容存在5处及以上瑕疵：0分。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3对接方案.docx</w:t>
            </w:r>
          </w:p>
        </w:tc>
      </w:tr>
      <w:tr>
        <w:tc>
          <w:tcPr>
            <w:tcW w:type="dxa" w:w="831"/>
            <w:vMerge/>
          </w:tcPr>
          <w:p/>
        </w:tc>
        <w:tc>
          <w:tcPr>
            <w:tcW w:type="dxa" w:w="1661"/>
          </w:tcPr>
          <w:p>
            <w:pPr>
              <w:pStyle w:val="null3"/>
            </w:pPr>
            <w:r>
              <w:rPr>
                <w:rFonts w:ascii="仿宋_GB2312" w:hAnsi="仿宋_GB2312" w:cs="仿宋_GB2312" w:eastAsia="仿宋_GB2312"/>
              </w:rPr>
              <w:t>安全与应急响应能力</w:t>
            </w:r>
          </w:p>
        </w:tc>
        <w:tc>
          <w:tcPr>
            <w:tcW w:type="dxa" w:w="2492"/>
          </w:tcPr>
          <w:p>
            <w:pPr>
              <w:pStyle w:val="null3"/>
            </w:pPr>
            <w:r>
              <w:rPr>
                <w:rFonts w:ascii="仿宋_GB2312" w:hAnsi="仿宋_GB2312" w:cs="仿宋_GB2312" w:eastAsia="仿宋_GB2312"/>
              </w:rPr>
              <w:t>供应商针对本项目提供安全与应急响应能力，平台整体安全维护机制（如漏洞修复等）、应急指挥机制方案，并制定相应的应对措施。 满足磋商文件要求，无瑕疵：5分； 方案内容存在1处瑕疵：3分； 方案内容存在2处瑕疵：1分； 未提供方案或内容存在3处及以上瑕疵：0分。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4安全与应急响应能力.docx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结合本项目要求阐述服务质量保障措施。质量保障措施设置合理、可行，确保运维服务可用性、安全性、及时性、规范性等，完全满足采购要求。 满足磋商文件要求，无瑕疵：8分； 内容存在1处瑕疵：6分； 内容存在2处瑕疵：4分； 内容存在3处瑕疵：2分 未提供或内容存在4处及以上瑕疵：0分。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5质量保障措施.docx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供应商拟派的项目经理，具有5年及以上类似项目管理经验得6分;具有3年及以上类似项目管理经验得3分；具有1年及以上类似项目管理经验得1分；未提供或1年以下管理经验不计分，此项满分6分。 备注：项目经理必须提供佐证材料（至少包括：身份证复印件、工作经验证明、信息系统项目管理师证书），否则不计分。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6项目经理.docx</w:t>
            </w:r>
          </w:p>
        </w:tc>
      </w:tr>
      <w:tr>
        <w:tc>
          <w:tcPr>
            <w:tcW w:type="dxa" w:w="831"/>
            <w:vMerge/>
          </w:tcPr>
          <w:p/>
        </w:tc>
        <w:tc>
          <w:tcPr>
            <w:tcW w:type="dxa" w:w="1661"/>
          </w:tcPr>
          <w:p>
            <w:pPr>
              <w:pStyle w:val="null3"/>
            </w:pPr>
            <w:r>
              <w:rPr>
                <w:rFonts w:ascii="仿宋_GB2312" w:hAnsi="仿宋_GB2312" w:cs="仿宋_GB2312" w:eastAsia="仿宋_GB2312"/>
              </w:rPr>
              <w:t>团队成员</w:t>
            </w:r>
          </w:p>
        </w:tc>
        <w:tc>
          <w:tcPr>
            <w:tcW w:type="dxa" w:w="2492"/>
          </w:tcPr>
          <w:p>
            <w:pPr>
              <w:pStyle w:val="null3"/>
            </w:pPr>
            <w:r>
              <w:rPr>
                <w:rFonts w:ascii="仿宋_GB2312" w:hAnsi="仿宋_GB2312" w:cs="仿宋_GB2312" w:eastAsia="仿宋_GB2312"/>
              </w:rPr>
              <w:t>供应商拟派的团队成员： （一）软件工程、网络工程领域。每具备一名成员得2分，满分4分。 （二）提供其他与本项目相关的团队成员（不含项目经理、软件工程、网络工程、驻场服务人员），每具备一名成员得1分，满分3分。 备注：1、（一）和（二）团队成员不允许重复计分，若重复只按最高得分。 2、团队成员必须提供佐证材料（至少包括：身份证复印件、毕业证复印件、工作经验证明），否则不计分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7团队成员.docx</w:t>
            </w:r>
          </w:p>
        </w:tc>
      </w:tr>
      <w:tr>
        <w:tc>
          <w:tcPr>
            <w:tcW w:type="dxa" w:w="831"/>
            <w:vMerge/>
          </w:tcPr>
          <w:p/>
        </w:tc>
        <w:tc>
          <w:tcPr>
            <w:tcW w:type="dxa" w:w="1661"/>
          </w:tcPr>
          <w:p>
            <w:pPr>
              <w:pStyle w:val="null3"/>
            </w:pPr>
            <w:r>
              <w:rPr>
                <w:rFonts w:ascii="仿宋_GB2312" w:hAnsi="仿宋_GB2312" w:cs="仿宋_GB2312" w:eastAsia="仿宋_GB2312"/>
              </w:rPr>
              <w:t>人员组织措施</w:t>
            </w:r>
          </w:p>
        </w:tc>
        <w:tc>
          <w:tcPr>
            <w:tcW w:type="dxa" w:w="2492"/>
          </w:tcPr>
          <w:p>
            <w:pPr>
              <w:pStyle w:val="null3"/>
            </w:pPr>
            <w:r>
              <w:rPr>
                <w:rFonts w:ascii="仿宋_GB2312" w:hAnsi="仿宋_GB2312" w:cs="仿宋_GB2312" w:eastAsia="仿宋_GB2312"/>
              </w:rPr>
              <w:t>供应商针对本项目拟派的团队人员（项目经理和团队成员）提供组织实施方案，至少包括：①团队架构与分工（团队组织架构图，明确运维、数据对接、应急响应等岗位职责分工）；②人员配置合理性；③协作与培训计划（协作流程、定期技能培训方案）。 满足磋商文件要求，无瑕疵：4分；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8人员组织措施.docx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提供供应商2022年1月1日至今同类项目合同，每提供1个得2分，最高得8分。（以合同签订日期为准） 备注：响应文件中提供合同复印件加盖公章。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具有CMMI3级及以上证书（含3级）、ITSS证书、ISO27001信息安全管理体系认证证书、ISO9001质量管理体系认证证书、ISO14001环境管理体系认证证书、ISO45001职业健康安全管理体系认证证书，每提供一个证书计1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10认证证书.docx</w:t>
            </w:r>
          </w:p>
        </w:tc>
      </w:tr>
      <w:tr>
        <w:tc>
          <w:tcPr>
            <w:tcW w:type="dxa" w:w="831"/>
            <w:vMerge/>
          </w:tcPr>
          <w:p/>
        </w:tc>
        <w:tc>
          <w:tcPr>
            <w:tcW w:type="dxa" w:w="1661"/>
          </w:tcPr>
          <w:p>
            <w:pPr>
              <w:pStyle w:val="null3"/>
            </w:pPr>
            <w:r>
              <w:rPr>
                <w:rFonts w:ascii="仿宋_GB2312" w:hAnsi="仿宋_GB2312" w:cs="仿宋_GB2312" w:eastAsia="仿宋_GB2312"/>
              </w:rPr>
              <w:t>驻场服务</w:t>
            </w:r>
          </w:p>
        </w:tc>
        <w:tc>
          <w:tcPr>
            <w:tcW w:type="dxa" w:w="2492"/>
          </w:tcPr>
          <w:p>
            <w:pPr>
              <w:pStyle w:val="null3"/>
            </w:pPr>
            <w:r>
              <w:rPr>
                <w:rFonts w:ascii="仿宋_GB2312" w:hAnsi="仿宋_GB2312" w:cs="仿宋_GB2312" w:eastAsia="仿宋_GB2312"/>
              </w:rPr>
              <w:t>供应商针对本项目提供驻场服务方案，涵盖人员配置、响应时效、服务周期及替补机制。明确驻场范围（平台运维、数据对接、应急支持等）、培训计划及协作机制。 满足磋商文件要求，无瑕疵：3分； 内容存在1处瑕疵：2分； 内容存在2处瑕疵：1分；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11驻场服务.docx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1、售后服务机构健全，具有及时有效履约能力的得1分，提供相关证明材料。 2、售后服务方案： 针对本项目提供售后服务方案，服务内容具体，服务响应时间合理、可行。针对不同服务优先级，在相应的响应时间内响应，并根据实际情况提供现场服务； 满足磋商文件要求，无瑕疵：4分；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12售后服务.docx</w:t>
            </w:r>
          </w:p>
        </w:tc>
      </w:tr>
      <w:tr>
        <w:tc>
          <w:tcPr>
            <w:tcW w:type="dxa" w:w="831"/>
            <w:vMerge/>
          </w:tcPr>
          <w:p/>
        </w:tc>
        <w:tc>
          <w:tcPr>
            <w:tcW w:type="dxa" w:w="1661"/>
          </w:tcPr>
          <w:p>
            <w:pPr>
              <w:pStyle w:val="null3"/>
            </w:pPr>
            <w:r>
              <w:rPr>
                <w:rFonts w:ascii="仿宋_GB2312" w:hAnsi="仿宋_GB2312" w:cs="仿宋_GB2312" w:eastAsia="仿宋_GB2312"/>
              </w:rPr>
              <w:t>增值内容</w:t>
            </w:r>
          </w:p>
        </w:tc>
        <w:tc>
          <w:tcPr>
            <w:tcW w:type="dxa" w:w="2492"/>
          </w:tcPr>
          <w:p>
            <w:pPr>
              <w:pStyle w:val="null3"/>
            </w:pPr>
            <w:r>
              <w:rPr>
                <w:rFonts w:ascii="仿宋_GB2312" w:hAnsi="仿宋_GB2312" w:cs="仿宋_GB2312" w:eastAsia="仿宋_GB2312"/>
              </w:rPr>
              <w:t>供应商在运维服务中提供的增值内容（如数据服务、平台优化建议）及技术创新能力（如引入AI辅助运维）。 满足磋商文件要求，无瑕疵：3分； 内容存在1处瑕疵：2分； 内容存在2处瑕疵：1分；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13增值内容.docx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供应商在服务期，需不定时开展平台系统功能应用培训。提供详尽的培训方案及培训计划，并列出培训的具体内容及方式（包括：培训方式、培训时间、培训内容等），保证使用单位能熟练操作维护和正常使用。 满足磋商文件要求，无瑕疵：5分； 方案内容存在1处瑕疵：3分； 方案内容存在2处瑕疵：1分； 未提供方案或内容存在3处及以上瑕疵：0分。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详见附件：投标担保函、履约担保函、公章授权书（若有）.docx</w:t>
      </w:r>
    </w:p>
    <w:p>
      <w:pPr>
        <w:pStyle w:val="null3"/>
        <w:ind w:firstLine="960"/>
      </w:pPr>
      <w:r>
        <w:rPr>
          <w:rFonts w:ascii="仿宋_GB2312" w:hAnsi="仿宋_GB2312" w:cs="仿宋_GB2312" w:eastAsia="仿宋_GB2312"/>
        </w:rPr>
        <w:t>详见附件：1整体运维服务方案.docx</w:t>
      </w:r>
    </w:p>
    <w:p>
      <w:pPr>
        <w:pStyle w:val="null3"/>
        <w:ind w:firstLine="960"/>
      </w:pPr>
      <w:r>
        <w:rPr>
          <w:rFonts w:ascii="仿宋_GB2312" w:hAnsi="仿宋_GB2312" w:cs="仿宋_GB2312" w:eastAsia="仿宋_GB2312"/>
        </w:rPr>
        <w:t>详见附件：2平台运维能力.docx</w:t>
      </w:r>
    </w:p>
    <w:p>
      <w:pPr>
        <w:pStyle w:val="null3"/>
        <w:ind w:firstLine="960"/>
      </w:pPr>
      <w:r>
        <w:rPr>
          <w:rFonts w:ascii="仿宋_GB2312" w:hAnsi="仿宋_GB2312" w:cs="仿宋_GB2312" w:eastAsia="仿宋_GB2312"/>
        </w:rPr>
        <w:t>详见附件：3对接方案.docx</w:t>
      </w:r>
    </w:p>
    <w:p>
      <w:pPr>
        <w:pStyle w:val="null3"/>
        <w:ind w:firstLine="960"/>
      </w:pPr>
      <w:r>
        <w:rPr>
          <w:rFonts w:ascii="仿宋_GB2312" w:hAnsi="仿宋_GB2312" w:cs="仿宋_GB2312" w:eastAsia="仿宋_GB2312"/>
        </w:rPr>
        <w:t>详见附件：4安全与应急响应能力.docx</w:t>
      </w:r>
    </w:p>
    <w:p>
      <w:pPr>
        <w:pStyle w:val="null3"/>
        <w:ind w:firstLine="960"/>
      </w:pPr>
      <w:r>
        <w:rPr>
          <w:rFonts w:ascii="仿宋_GB2312" w:hAnsi="仿宋_GB2312" w:cs="仿宋_GB2312" w:eastAsia="仿宋_GB2312"/>
        </w:rPr>
        <w:t>详见附件：5质量保障措施.docx</w:t>
      </w:r>
    </w:p>
    <w:p>
      <w:pPr>
        <w:pStyle w:val="null3"/>
        <w:ind w:firstLine="960"/>
      </w:pPr>
      <w:r>
        <w:rPr>
          <w:rFonts w:ascii="仿宋_GB2312" w:hAnsi="仿宋_GB2312" w:cs="仿宋_GB2312" w:eastAsia="仿宋_GB2312"/>
        </w:rPr>
        <w:t>详见附件：6项目经理.docx</w:t>
      </w:r>
    </w:p>
    <w:p>
      <w:pPr>
        <w:pStyle w:val="null3"/>
        <w:ind w:firstLine="960"/>
      </w:pPr>
      <w:r>
        <w:rPr>
          <w:rFonts w:ascii="仿宋_GB2312" w:hAnsi="仿宋_GB2312" w:cs="仿宋_GB2312" w:eastAsia="仿宋_GB2312"/>
        </w:rPr>
        <w:t>详见附件：7团队成员.docx</w:t>
      </w:r>
    </w:p>
    <w:p>
      <w:pPr>
        <w:pStyle w:val="null3"/>
        <w:ind w:firstLine="960"/>
      </w:pPr>
      <w:r>
        <w:rPr>
          <w:rFonts w:ascii="仿宋_GB2312" w:hAnsi="仿宋_GB2312" w:cs="仿宋_GB2312" w:eastAsia="仿宋_GB2312"/>
        </w:rPr>
        <w:t>详见附件：8人员组织措施.docx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详见附件：10认证证书.docx</w:t>
      </w:r>
    </w:p>
    <w:p>
      <w:pPr>
        <w:pStyle w:val="null3"/>
        <w:ind w:firstLine="960"/>
      </w:pPr>
      <w:r>
        <w:rPr>
          <w:rFonts w:ascii="仿宋_GB2312" w:hAnsi="仿宋_GB2312" w:cs="仿宋_GB2312" w:eastAsia="仿宋_GB2312"/>
        </w:rPr>
        <w:t>详见附件：11驻场服务.docx</w:t>
      </w:r>
    </w:p>
    <w:p>
      <w:pPr>
        <w:pStyle w:val="null3"/>
        <w:ind w:firstLine="960"/>
      </w:pPr>
      <w:r>
        <w:rPr>
          <w:rFonts w:ascii="仿宋_GB2312" w:hAnsi="仿宋_GB2312" w:cs="仿宋_GB2312" w:eastAsia="仿宋_GB2312"/>
        </w:rPr>
        <w:t>详见附件：12售后服务.docx</w:t>
      </w:r>
    </w:p>
    <w:p>
      <w:pPr>
        <w:pStyle w:val="null3"/>
        <w:ind w:firstLine="960"/>
      </w:pPr>
      <w:r>
        <w:rPr>
          <w:rFonts w:ascii="仿宋_GB2312" w:hAnsi="仿宋_GB2312" w:cs="仿宋_GB2312" w:eastAsia="仿宋_GB2312"/>
        </w:rPr>
        <w:t>详见附件：13增值内容.docx</w:t>
      </w:r>
    </w:p>
    <w:p>
      <w:pPr>
        <w:pStyle w:val="null3"/>
        <w:ind w:firstLine="960"/>
      </w:pPr>
      <w:r>
        <w:rPr>
          <w:rFonts w:ascii="仿宋_GB2312" w:hAnsi="仿宋_GB2312" w:cs="仿宋_GB2312" w:eastAsia="仿宋_GB2312"/>
        </w:rPr>
        <w:t>详见附件：14培训方案.docx</w:t>
      </w:r>
    </w:p>
    <w:p>
      <w:pPr>
        <w:pStyle w:val="null3"/>
        <w:ind w:firstLine="960"/>
      </w:pPr>
      <w:r>
        <w:rPr>
          <w:rFonts w:ascii="仿宋_GB2312" w:hAnsi="仿宋_GB2312" w:cs="仿宋_GB2312" w:eastAsia="仿宋_GB2312"/>
        </w:rPr>
        <w:t>详见附件：分项价格表.docx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