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A6EFC">
      <w:pPr>
        <w:spacing w:line="360" w:lineRule="auto"/>
        <w:ind w:firstLine="562" w:firstLineChars="200"/>
        <w:jc w:val="center"/>
        <w:rPr>
          <w:rFonts w:hint="default" w:ascii="宋体" w:hAnsi="宋体" w:cs="宋体"/>
          <w:b/>
          <w:bCs/>
          <w:sz w:val="28"/>
          <w:szCs w:val="28"/>
          <w:lang w:val="en-US"/>
        </w:rPr>
      </w:pPr>
      <w:r>
        <w:rPr>
          <w:b/>
          <w:sz w:val="28"/>
        </w:rPr>
        <w:t>中心信息系统等级保护测评</w:t>
      </w:r>
    </w:p>
    <w:p w14:paraId="4E065915">
      <w:pPr>
        <w:spacing w:line="360" w:lineRule="auto"/>
        <w:ind w:firstLine="480" w:firstLineChars="200"/>
        <w:jc w:val="center"/>
        <w:rPr>
          <w:rFonts w:hint="eastAsia" w:ascii="宋体" w:hAnsi="宋体" w:cs="宋体"/>
          <w:kern w:val="0"/>
          <w:sz w:val="24"/>
          <w:u w:val="single"/>
        </w:rPr>
      </w:pPr>
      <w:r>
        <w:rPr>
          <w:rFonts w:hint="eastAsia" w:ascii="宋体" w:hAnsi="宋体" w:cs="宋体"/>
          <w:sz w:val="24"/>
        </w:rPr>
        <w:t>（此合同样本仅供参考，合同具体细则以双方协定为准）</w:t>
      </w:r>
    </w:p>
    <w:p w14:paraId="1D20B509">
      <w:pPr>
        <w:spacing w:line="480" w:lineRule="auto"/>
        <w:jc w:val="both"/>
        <w:rPr>
          <w:rFonts w:hint="eastAsia" w:ascii="宋体" w:hAnsi="宋体" w:cs="宋体"/>
          <w:b/>
          <w:bCs/>
          <w:sz w:val="24"/>
        </w:rPr>
      </w:pPr>
      <w:r>
        <w:rPr>
          <w:rFonts w:hint="eastAsia" w:ascii="宋体" w:hAnsi="宋体" w:cs="宋体"/>
          <w:b/>
          <w:bCs/>
          <w:sz w:val="24"/>
        </w:rPr>
        <w:t>甲方：</w:t>
      </w:r>
      <w:r>
        <w:rPr>
          <w:rFonts w:hint="eastAsia" w:ascii="宋体" w:hAnsi="宋体" w:cs="宋体"/>
          <w:b/>
          <w:bCs/>
          <w:sz w:val="24"/>
          <w:u w:val="single"/>
          <w:lang w:val="en-US" w:eastAsia="zh-CN"/>
        </w:rPr>
        <w:t>陕西省高速公路收费中心</w:t>
      </w:r>
    </w:p>
    <w:p w14:paraId="29AE307F">
      <w:pPr>
        <w:widowControl/>
        <w:autoSpaceDE w:val="0"/>
        <w:autoSpaceDN w:val="0"/>
        <w:adjustRightInd w:val="0"/>
        <w:snapToGrid w:val="0"/>
        <w:spacing w:line="360" w:lineRule="auto"/>
        <w:textAlignment w:val="baseline"/>
        <w:rPr>
          <w:rFonts w:hint="eastAsia" w:ascii="宋体" w:hAnsi="宋体" w:cs="宋体"/>
          <w:b/>
          <w:bCs/>
          <w:sz w:val="24"/>
        </w:rPr>
      </w:pPr>
      <w:r>
        <w:rPr>
          <w:rFonts w:hint="eastAsia" w:ascii="宋体" w:hAnsi="宋体" w:cs="宋体"/>
          <w:b/>
          <w:bCs/>
          <w:sz w:val="24"/>
        </w:rPr>
        <w:t>乙方：</w:t>
      </w:r>
    </w:p>
    <w:p w14:paraId="4F03FBE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根据《中华人民共和国民法典》、《中华人民共和国政府采购法》及</w:t>
      </w:r>
      <w:r>
        <w:rPr>
          <w:rFonts w:hint="eastAsia" w:ascii="宋体" w:hAnsi="宋体" w:cs="宋体"/>
          <w:sz w:val="24"/>
          <w:lang w:val="en-US" w:eastAsia="zh-CN"/>
        </w:rPr>
        <w:t>其</w:t>
      </w:r>
      <w:r>
        <w:rPr>
          <w:rFonts w:hint="eastAsia" w:ascii="宋体" w:hAnsi="宋体" w:cs="宋体"/>
          <w:sz w:val="24"/>
        </w:rPr>
        <w:t>实施条例</w:t>
      </w:r>
      <w:r>
        <w:rPr>
          <w:rFonts w:hint="eastAsia" w:ascii="宋体" w:hAnsi="宋体" w:cs="宋体"/>
          <w:sz w:val="24"/>
          <w:lang w:eastAsia="zh-CN"/>
        </w:rPr>
        <w:t>、</w:t>
      </w:r>
      <w:r>
        <w:rPr>
          <w:rFonts w:hint="eastAsia" w:ascii="宋体" w:hAnsi="宋体" w:cs="宋体"/>
          <w:sz w:val="24"/>
          <w:u w:val="single"/>
          <w:lang w:eastAsia="zh-CN"/>
        </w:rPr>
        <w:t>中心信息系统等级保护测评项目</w:t>
      </w:r>
      <w:r>
        <w:rPr>
          <w:rFonts w:hint="eastAsia" w:ascii="宋体" w:hAnsi="宋体" w:cs="宋体"/>
          <w:sz w:val="24"/>
          <w:u w:val="single"/>
        </w:rPr>
        <w:t>（项目编号：</w:t>
      </w:r>
      <w:r>
        <w:rPr>
          <w:rFonts w:hint="eastAsia" w:ascii="宋体" w:hAnsi="宋体" w:cs="宋体"/>
          <w:sz w:val="24"/>
          <w:u w:val="single"/>
          <w:lang w:eastAsia="zh-CN"/>
        </w:rPr>
        <w:t>THXZB2025-100</w:t>
      </w:r>
      <w:r>
        <w:rPr>
          <w:rFonts w:hint="eastAsia" w:ascii="宋体" w:hAnsi="宋体" w:cs="宋体"/>
          <w:sz w:val="24"/>
          <w:u w:val="single"/>
          <w:lang w:val="en-US" w:eastAsia="zh-CN"/>
        </w:rPr>
        <w:t>9</w:t>
      </w:r>
      <w:r>
        <w:rPr>
          <w:rFonts w:hint="eastAsia" w:ascii="宋体" w:hAnsi="宋体" w:cs="宋体"/>
          <w:sz w:val="24"/>
          <w:u w:val="single"/>
        </w:rPr>
        <w:t>）</w:t>
      </w:r>
      <w:r>
        <w:rPr>
          <w:rFonts w:hint="eastAsia" w:ascii="宋体" w:hAnsi="宋体" w:cs="宋体"/>
          <w:sz w:val="24"/>
        </w:rPr>
        <w:t>的招标文件、投标文件等有关规定，为确保甲方采购项目的顺利实施，甲、乙双方在平等自愿原则下签订本合同，并共同遵守如下条款：</w:t>
      </w:r>
    </w:p>
    <w:p w14:paraId="0ED85A35">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u w:val="single"/>
          <w:lang w:eastAsia="zh-CN"/>
        </w:rPr>
      </w:pPr>
      <w:r>
        <w:rPr>
          <w:rFonts w:hint="eastAsia" w:ascii="宋体" w:hAnsi="宋体" w:cs="宋体"/>
          <w:b/>
          <w:bCs/>
          <w:sz w:val="24"/>
        </w:rPr>
        <w:t>一、服务内容：</w:t>
      </w:r>
    </w:p>
    <w:p w14:paraId="37D1E134">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二、合同价款</w:t>
      </w:r>
    </w:p>
    <w:p w14:paraId="435A905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（一）合同总价款为人民币（大写）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w:t>
      </w:r>
    </w:p>
    <w:p w14:paraId="3CF897A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（二）合同总价包括但不限于</w:t>
      </w:r>
      <w:r>
        <w:rPr>
          <w:rFonts w:hint="eastAsia" w:ascii="宋体" w:hAnsi="宋体" w:eastAsia="宋体" w:cs="宋体"/>
          <w:sz w:val="24"/>
          <w:szCs w:val="24"/>
          <w:shd w:val="clear" w:color="auto" w:fill="FFFFFF"/>
        </w:rPr>
        <w:t>实施费用、其他费用以及国家按现行税率征收的一切税费</w:t>
      </w:r>
      <w:r>
        <w:rPr>
          <w:rFonts w:hint="eastAsia" w:ascii="宋体" w:hAnsi="宋体" w:cs="宋体"/>
          <w:sz w:val="24"/>
        </w:rPr>
        <w:t>。</w:t>
      </w:r>
    </w:p>
    <w:p w14:paraId="496900B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（三）合同总价一次性包死。</w:t>
      </w:r>
    </w:p>
    <w:p w14:paraId="3547DC26">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三、付款方式</w:t>
      </w:r>
    </w:p>
    <w:p w14:paraId="69CD61A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color w:val="auto"/>
          <w:sz w:val="24"/>
        </w:rPr>
        <w:t>（一）合同签订并提供</w:t>
      </w:r>
      <w:r>
        <w:rPr>
          <w:rFonts w:hint="eastAsia"/>
          <w:color w:val="auto"/>
          <w:sz w:val="24"/>
          <w:lang w:eastAsia="zh-CN"/>
        </w:rPr>
        <w:t>有效</w:t>
      </w:r>
      <w:r>
        <w:rPr>
          <w:rFonts w:hint="eastAsia"/>
          <w:color w:val="auto"/>
          <w:sz w:val="24"/>
        </w:rPr>
        <w:t>发票后，</w:t>
      </w:r>
      <w:r>
        <w:rPr>
          <w:rFonts w:hint="eastAsia"/>
          <w:color w:val="auto"/>
          <w:sz w:val="24"/>
          <w:lang w:val="en-US" w:eastAsia="zh-CN"/>
        </w:rPr>
        <w:t>达到付</w:t>
      </w:r>
      <w:bookmarkStart w:id="0" w:name="_GoBack"/>
      <w:bookmarkEnd w:id="0"/>
      <w:r>
        <w:rPr>
          <w:rFonts w:hint="eastAsia"/>
          <w:color w:val="auto"/>
          <w:sz w:val="24"/>
          <w:lang w:val="en-US" w:eastAsia="zh-CN"/>
        </w:rPr>
        <w:t>款条件起，</w:t>
      </w:r>
      <w:r>
        <w:rPr>
          <w:rFonts w:hint="eastAsia"/>
          <w:color w:val="auto"/>
          <w:sz w:val="24"/>
          <w:lang w:eastAsia="zh-CN"/>
        </w:rPr>
        <w:t>采购人</w:t>
      </w:r>
      <w:r>
        <w:rPr>
          <w:rFonts w:hint="eastAsia"/>
          <w:color w:val="auto"/>
          <w:sz w:val="24"/>
        </w:rPr>
        <w:t>15</w:t>
      </w:r>
      <w:r>
        <w:rPr>
          <w:rFonts w:hint="eastAsia"/>
          <w:color w:val="auto"/>
          <w:sz w:val="24"/>
          <w:lang w:val="en-US" w:eastAsia="zh-CN"/>
        </w:rPr>
        <w:t>日</w:t>
      </w:r>
      <w:r>
        <w:rPr>
          <w:rFonts w:hint="eastAsia"/>
          <w:color w:val="auto"/>
          <w:sz w:val="24"/>
        </w:rPr>
        <w:t>内支付合同价款40%的预付款；完成项目实施内容并提交所有交付成果，</w:t>
      </w:r>
      <w:r>
        <w:rPr>
          <w:rFonts w:hint="eastAsia"/>
          <w:color w:val="auto"/>
          <w:sz w:val="24"/>
          <w:lang w:eastAsia="zh-CN"/>
        </w:rPr>
        <w:t>采购人组织验收合格后，</w:t>
      </w:r>
      <w:r>
        <w:rPr>
          <w:rFonts w:hint="eastAsia"/>
          <w:color w:val="auto"/>
          <w:sz w:val="24"/>
          <w:lang w:val="en-US" w:eastAsia="zh-CN"/>
        </w:rPr>
        <w:t>达到付款条件起，</w:t>
      </w:r>
      <w:r>
        <w:rPr>
          <w:rFonts w:hint="eastAsia"/>
          <w:color w:val="auto"/>
          <w:sz w:val="24"/>
        </w:rPr>
        <w:t>15</w:t>
      </w:r>
      <w:r>
        <w:rPr>
          <w:rFonts w:hint="eastAsia"/>
          <w:color w:val="auto"/>
          <w:sz w:val="24"/>
          <w:lang w:val="en-US" w:eastAsia="zh-CN"/>
        </w:rPr>
        <w:t>日</w:t>
      </w:r>
      <w:r>
        <w:rPr>
          <w:rFonts w:hint="eastAsia"/>
          <w:color w:val="auto"/>
          <w:sz w:val="24"/>
        </w:rPr>
        <w:t>内</w:t>
      </w:r>
      <w:r>
        <w:rPr>
          <w:rFonts w:hint="eastAsia"/>
          <w:color w:val="auto"/>
          <w:sz w:val="24"/>
          <w:lang w:eastAsia="zh-CN"/>
        </w:rPr>
        <w:t>支付合同价款的60%。</w:t>
      </w:r>
    </w:p>
    <w:p w14:paraId="67C1E7F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（二）支付方式：银行转账。</w:t>
      </w:r>
    </w:p>
    <w:p w14:paraId="2CE76CF5">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（三）结算方式： 乙方在接受付款前开具等额合法有效的发票给甲方。</w:t>
      </w:r>
    </w:p>
    <w:p w14:paraId="3CF869EA">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lang w:val="en-US" w:eastAsia="zh-CN"/>
        </w:rPr>
        <w:t>四</w:t>
      </w:r>
      <w:r>
        <w:rPr>
          <w:rFonts w:hint="eastAsia" w:ascii="宋体" w:hAnsi="宋体" w:cs="宋体"/>
          <w:b/>
          <w:bCs/>
          <w:sz w:val="24"/>
        </w:rPr>
        <w:t>、</w:t>
      </w:r>
      <w:r>
        <w:rPr>
          <w:rFonts w:hint="eastAsia" w:ascii="宋体" w:hAnsi="宋体" w:eastAsia="宋体" w:cs="宋体"/>
          <w:b/>
          <w:bCs/>
          <w:sz w:val="24"/>
          <w:szCs w:val="24"/>
          <w:shd w:val="clear" w:color="auto" w:fill="FFFFFF"/>
        </w:rPr>
        <w:t>服务期：</w:t>
      </w:r>
      <w:r>
        <w:rPr>
          <w:rFonts w:hint="eastAsia" w:ascii="宋体" w:hAnsi="宋体" w:eastAsia="宋体" w:cs="宋体"/>
          <w:b w:val="0"/>
          <w:bCs w:val="0"/>
          <w:sz w:val="24"/>
          <w:szCs w:val="24"/>
          <w:shd w:val="clear" w:color="auto" w:fill="FFFFFF"/>
        </w:rPr>
        <w:t>自合同签订之日</w:t>
      </w:r>
      <w:r>
        <w:rPr>
          <w:rFonts w:hint="eastAsia" w:ascii="宋体" w:hAnsi="宋体" w:eastAsia="宋体" w:cs="宋体"/>
          <w:b w:val="0"/>
          <w:bCs w:val="0"/>
          <w:sz w:val="24"/>
          <w:szCs w:val="24"/>
          <w:shd w:val="clear" w:color="auto" w:fill="FFFFFF"/>
          <w:lang w:eastAsia="zh-CN"/>
        </w:rPr>
        <w:t>起100</w:t>
      </w:r>
      <w:r>
        <w:rPr>
          <w:rFonts w:hint="eastAsia" w:ascii="宋体" w:hAnsi="宋体" w:eastAsia="宋体" w:cs="宋体"/>
          <w:b w:val="0"/>
          <w:bCs w:val="0"/>
          <w:sz w:val="24"/>
          <w:szCs w:val="24"/>
          <w:shd w:val="clear" w:color="auto" w:fill="FFFFFF"/>
        </w:rPr>
        <w:t>个</w:t>
      </w:r>
      <w:r>
        <w:rPr>
          <w:rFonts w:hint="eastAsia" w:ascii="宋体" w:hAnsi="宋体" w:eastAsia="宋体" w:cs="宋体"/>
          <w:b w:val="0"/>
          <w:bCs w:val="0"/>
          <w:sz w:val="24"/>
          <w:szCs w:val="24"/>
          <w:shd w:val="clear" w:color="auto" w:fill="FFFFFF"/>
          <w:lang w:eastAsia="zh-CN"/>
        </w:rPr>
        <w:t>自然</w:t>
      </w:r>
      <w:r>
        <w:rPr>
          <w:rFonts w:hint="eastAsia" w:ascii="宋体" w:hAnsi="宋体" w:eastAsia="宋体" w:cs="宋体"/>
          <w:b w:val="0"/>
          <w:bCs w:val="0"/>
          <w:sz w:val="24"/>
          <w:szCs w:val="24"/>
          <w:shd w:val="clear" w:color="auto" w:fill="FFFFFF"/>
        </w:rPr>
        <w:t>日内完成系统等级保护测评工作</w:t>
      </w:r>
      <w:r>
        <w:rPr>
          <w:rFonts w:hint="eastAsia" w:ascii="宋体" w:hAnsi="宋体" w:eastAsia="宋体" w:cs="宋体"/>
          <w:b w:val="0"/>
          <w:bCs w:val="0"/>
          <w:sz w:val="24"/>
          <w:szCs w:val="24"/>
          <w:shd w:val="clear" w:color="auto" w:fill="FFFFFF"/>
          <w:lang w:eastAsia="zh-CN"/>
        </w:rPr>
        <w:t>后</w:t>
      </w:r>
      <w:r>
        <w:rPr>
          <w:rFonts w:hint="eastAsia" w:ascii="宋体" w:hAnsi="宋体" w:eastAsia="宋体" w:cs="宋体"/>
          <w:b w:val="0"/>
          <w:bCs w:val="0"/>
          <w:sz w:val="24"/>
          <w:szCs w:val="24"/>
          <w:shd w:val="clear" w:color="auto" w:fill="FFFFFF"/>
        </w:rPr>
        <w:t>，</w:t>
      </w:r>
      <w:r>
        <w:rPr>
          <w:rFonts w:hint="eastAsia" w:ascii="宋体" w:hAnsi="宋体" w:eastAsia="宋体" w:cs="宋体"/>
          <w:b w:val="0"/>
          <w:bCs w:val="0"/>
          <w:sz w:val="24"/>
          <w:szCs w:val="24"/>
          <w:shd w:val="clear" w:color="auto" w:fill="FFFFFF"/>
          <w:lang w:eastAsia="zh-CN"/>
        </w:rPr>
        <w:t>30</w:t>
      </w:r>
      <w:r>
        <w:rPr>
          <w:rFonts w:hint="eastAsia" w:ascii="宋体" w:hAnsi="宋体" w:eastAsia="宋体" w:cs="宋体"/>
          <w:b w:val="0"/>
          <w:bCs w:val="0"/>
          <w:sz w:val="24"/>
          <w:szCs w:val="24"/>
          <w:shd w:val="clear" w:color="auto" w:fill="FFFFFF"/>
        </w:rPr>
        <w:t>个</w:t>
      </w:r>
      <w:r>
        <w:rPr>
          <w:rFonts w:hint="eastAsia" w:ascii="宋体" w:hAnsi="宋体" w:eastAsia="宋体" w:cs="宋体"/>
          <w:b w:val="0"/>
          <w:bCs w:val="0"/>
          <w:sz w:val="24"/>
          <w:szCs w:val="24"/>
          <w:shd w:val="clear" w:color="auto" w:fill="FFFFFF"/>
          <w:lang w:eastAsia="zh-CN"/>
        </w:rPr>
        <w:t>自然日</w:t>
      </w:r>
      <w:r>
        <w:rPr>
          <w:rFonts w:hint="eastAsia" w:ascii="宋体" w:hAnsi="宋体" w:eastAsia="宋体" w:cs="宋体"/>
          <w:b w:val="0"/>
          <w:bCs w:val="0"/>
          <w:sz w:val="24"/>
          <w:szCs w:val="24"/>
          <w:shd w:val="clear" w:color="auto" w:fill="FFFFFF"/>
        </w:rPr>
        <w:t>内提交项目所有交付成果。</w:t>
      </w:r>
    </w:p>
    <w:p w14:paraId="66C50B47">
      <w:pPr>
        <w:widowControl/>
        <w:autoSpaceDE w:val="0"/>
        <w:autoSpaceDN w:val="0"/>
        <w:adjustRightInd w:val="0"/>
        <w:snapToGrid w:val="0"/>
        <w:spacing w:line="360" w:lineRule="auto"/>
        <w:ind w:firstLine="482" w:firstLineChars="200"/>
        <w:textAlignment w:val="baseline"/>
        <w:rPr>
          <w:rFonts w:hint="eastAsia" w:ascii="宋体" w:hAnsi="宋体" w:cs="宋体"/>
          <w:sz w:val="24"/>
        </w:rPr>
      </w:pPr>
      <w:r>
        <w:rPr>
          <w:rFonts w:hint="eastAsia" w:ascii="宋体" w:hAnsi="宋体" w:cs="宋体"/>
          <w:b/>
          <w:bCs/>
          <w:sz w:val="24"/>
          <w:lang w:val="en-US" w:eastAsia="zh-CN"/>
        </w:rPr>
        <w:t>五、服务</w:t>
      </w:r>
      <w:r>
        <w:rPr>
          <w:rFonts w:hint="eastAsia" w:ascii="宋体" w:hAnsi="宋体" w:cs="宋体"/>
          <w:b/>
          <w:bCs/>
          <w:sz w:val="24"/>
        </w:rPr>
        <w:t>地点：</w:t>
      </w:r>
      <w:r>
        <w:rPr>
          <w:rFonts w:hint="eastAsia" w:ascii="宋体" w:hAnsi="宋体" w:eastAsia="宋体" w:cs="宋体"/>
          <w:b w:val="0"/>
          <w:bCs w:val="0"/>
          <w:sz w:val="24"/>
          <w:szCs w:val="24"/>
          <w:shd w:val="clear" w:color="auto" w:fill="FFFFFF"/>
          <w:lang w:val="en-US" w:eastAsia="zh-CN"/>
        </w:rPr>
        <w:t>陕西省高速公路收费中心</w:t>
      </w:r>
      <w:r>
        <w:rPr>
          <w:rFonts w:hint="eastAsia" w:ascii="宋体" w:hAnsi="宋体" w:cs="宋体"/>
          <w:b w:val="0"/>
          <w:bCs w:val="0"/>
          <w:sz w:val="24"/>
          <w:lang w:val="en-US" w:eastAsia="zh-CN"/>
        </w:rPr>
        <w:t>。</w:t>
      </w:r>
    </w:p>
    <w:p w14:paraId="0D66CB8A">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eastAsia="宋体" w:cs="宋体"/>
          <w:b/>
          <w:bCs/>
          <w:kern w:val="2"/>
          <w:sz w:val="24"/>
          <w:szCs w:val="24"/>
          <w:lang w:val="en-US" w:eastAsia="zh-CN" w:bidi="ar-SA"/>
        </w:rPr>
        <w:t>六、</w:t>
      </w:r>
      <w:r>
        <w:rPr>
          <w:rFonts w:hint="eastAsia" w:ascii="宋体" w:hAnsi="宋体" w:eastAsia="宋体" w:cs="宋体"/>
          <w:b/>
          <w:bCs/>
          <w:kern w:val="2"/>
          <w:sz w:val="24"/>
          <w:szCs w:val="24"/>
          <w:shd w:val="clear" w:color="auto" w:fill="FFFFFF"/>
          <w:lang w:val="en-US" w:eastAsia="zh-CN" w:bidi="ar-SA"/>
        </w:rPr>
        <w:t>服务承诺：</w:t>
      </w:r>
    </w:p>
    <w:p w14:paraId="451D2B83">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乙方需派一名项目经理：姓名：</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性别：</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联系电话：</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shd w:val="clear" w:color="auto" w:fill="FFFFFF"/>
          <w:lang w:val="en-US" w:eastAsia="zh-CN" w:bidi="ar-SA"/>
        </w:rPr>
        <w:t>，直接与甲方沟通，项目经理接收甲方提出的问题与要求，并及时向公司申请调动资源，解决在项目实施过程中遇到的问题。</w:t>
      </w:r>
    </w:p>
    <w:p w14:paraId="2E4B0011">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cs="宋体"/>
          <w:b/>
          <w:bCs/>
          <w:kern w:val="2"/>
          <w:sz w:val="24"/>
          <w:szCs w:val="24"/>
          <w:shd w:val="clear" w:color="auto" w:fill="FFFFFF"/>
          <w:lang w:val="en-US" w:eastAsia="zh-CN" w:bidi="ar-SA"/>
        </w:rPr>
        <w:t>七</w:t>
      </w:r>
      <w:r>
        <w:rPr>
          <w:rFonts w:hint="eastAsia" w:ascii="宋体" w:hAnsi="宋体" w:eastAsia="宋体" w:cs="宋体"/>
          <w:b/>
          <w:bCs/>
          <w:kern w:val="2"/>
          <w:sz w:val="24"/>
          <w:szCs w:val="24"/>
          <w:shd w:val="clear" w:color="auto" w:fill="FFFFFF"/>
          <w:lang w:val="en-US" w:eastAsia="zh-CN" w:bidi="ar-SA"/>
        </w:rPr>
        <w:t>、质量保证</w:t>
      </w:r>
    </w:p>
    <w:p w14:paraId="27C9CD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所有内容按照国家相关规范及标准，确保达到甲方要求。</w:t>
      </w:r>
    </w:p>
    <w:p w14:paraId="2F750BC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八</w:t>
      </w:r>
      <w:r>
        <w:rPr>
          <w:rFonts w:hint="eastAsia" w:ascii="宋体" w:hAnsi="宋体" w:eastAsia="宋体" w:cs="宋体"/>
          <w:b/>
          <w:bCs/>
          <w:kern w:val="2"/>
          <w:sz w:val="24"/>
          <w:szCs w:val="24"/>
          <w:lang w:val="en-US" w:eastAsia="zh-CN" w:bidi="ar-SA"/>
        </w:rPr>
        <w:t>、其它事项</w:t>
      </w:r>
    </w:p>
    <w:p w14:paraId="4F0423EC">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（一）乙方不得转让、分包给其它单位或个人。</w:t>
      </w:r>
    </w:p>
    <w:p w14:paraId="0BDC79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（二）乙方的响应文件和承诺等内容将列入合同。</w:t>
      </w:r>
    </w:p>
    <w:p w14:paraId="28002AD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九</w:t>
      </w:r>
      <w:r>
        <w:rPr>
          <w:rFonts w:hint="eastAsia" w:ascii="宋体" w:hAnsi="宋体" w:eastAsia="宋体" w:cs="宋体"/>
          <w:b/>
          <w:bCs/>
          <w:kern w:val="2"/>
          <w:sz w:val="24"/>
          <w:szCs w:val="24"/>
          <w:lang w:val="en-US" w:eastAsia="zh-CN" w:bidi="ar-SA"/>
        </w:rPr>
        <w:t>、违约责任</w:t>
      </w:r>
    </w:p>
    <w:p w14:paraId="5141A5BE">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（一）按</w:t>
      </w:r>
      <w:r>
        <w:rPr>
          <w:rFonts w:hint="eastAsia" w:ascii="宋体" w:hAnsi="宋体" w:eastAsia="宋体" w:cs="宋体"/>
          <w:kern w:val="2"/>
          <w:sz w:val="24"/>
          <w:szCs w:val="24"/>
          <w:lang w:val="en-US" w:eastAsia="zh-CN" w:bidi="ar-SA"/>
        </w:rPr>
        <w:t>《中华人民共和国民法典》</w:t>
      </w:r>
      <w:r>
        <w:rPr>
          <w:rFonts w:hint="eastAsia" w:ascii="宋体" w:hAnsi="宋体" w:eastAsia="宋体" w:cs="宋体"/>
          <w:kern w:val="2"/>
          <w:sz w:val="24"/>
          <w:szCs w:val="24"/>
          <w:shd w:val="clear" w:color="auto" w:fill="FFFFFF"/>
          <w:lang w:val="en-US" w:eastAsia="zh-CN" w:bidi="ar-SA"/>
        </w:rPr>
        <w:t>中的相关条款执行。</w:t>
      </w:r>
    </w:p>
    <w:p w14:paraId="0C9E215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eastAsia="宋体" w:cs="宋体"/>
          <w:sz w:val="24"/>
          <w:szCs w:val="24"/>
          <w:shd w:val="clear" w:color="auto" w:fill="FFFFFF"/>
        </w:rPr>
        <w:t>（二）</w:t>
      </w:r>
      <w:r>
        <w:rPr>
          <w:rFonts w:hint="eastAsia" w:ascii="宋体" w:hAnsi="宋体" w:cs="宋体"/>
          <w:sz w:val="24"/>
        </w:rPr>
        <w:t>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投标人管理办法进行相应的处罚，给甲方造成损失的还应承担因此造成的所有损失。</w:t>
      </w:r>
    </w:p>
    <w:p w14:paraId="443D26DD">
      <w:pPr>
        <w:widowControl/>
        <w:autoSpaceDE w:val="0"/>
        <w:autoSpaceDN w:val="0"/>
        <w:adjustRightInd w:val="0"/>
        <w:snapToGrid w:val="0"/>
        <w:spacing w:line="360" w:lineRule="auto"/>
        <w:ind w:firstLine="480" w:firstLineChars="200"/>
        <w:textAlignment w:val="baseline"/>
        <w:rPr>
          <w:rFonts w:hint="eastAsia" w:ascii="宋体" w:hAnsi="宋体" w:eastAsia="宋体" w:cs="宋体"/>
          <w:sz w:val="24"/>
          <w:szCs w:val="24"/>
          <w:shd w:val="clear" w:color="auto" w:fill="FFFFFF"/>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rPr>
        <w:t>任何一方因不可抗力原因不能履行协议时，应尽快通知对方，双方均设法补偿。如仍无法履约协议，可协商延缓或撤销协议，双方责任免除。</w:t>
      </w:r>
    </w:p>
    <w:p w14:paraId="68DBF74E">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szCs w:val="24"/>
          <w:lang w:val="en-US" w:eastAsia="zh-CN"/>
        </w:rPr>
        <w:t>十</w:t>
      </w:r>
      <w:r>
        <w:rPr>
          <w:rFonts w:hint="eastAsia" w:ascii="宋体" w:hAnsi="宋体" w:eastAsia="宋体" w:cs="宋体"/>
          <w:b/>
          <w:bCs/>
          <w:sz w:val="24"/>
          <w:szCs w:val="24"/>
        </w:rPr>
        <w:t>、</w:t>
      </w:r>
      <w:r>
        <w:rPr>
          <w:rFonts w:hint="eastAsia" w:ascii="宋体" w:hAnsi="宋体" w:cs="宋体"/>
          <w:b/>
          <w:bCs/>
          <w:sz w:val="24"/>
        </w:rPr>
        <w:t>保密规定</w:t>
      </w:r>
    </w:p>
    <w:p w14:paraId="0903419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甲、乙双方应永久恪守因签署或履行本合同而获知的对方秘密信息及其它秘密资料，特别是国家安全秘密。任何一方如将获知的对方秘密信息泄露给第三方，应赔偿因泄密而给对方造成的一切损失并承担相 应的法律责任（包括刑事责任）。</w:t>
      </w:r>
    </w:p>
    <w:p w14:paraId="1417BDA9">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eastAsia" w:ascii="宋体" w:hAnsi="宋体" w:cs="宋体"/>
          <w:sz w:val="24"/>
          <w:highlight w:val="none"/>
          <w:lang w:val="en-US" w:eastAsia="zh-CN"/>
        </w:rPr>
        <w:t>2.</w:t>
      </w:r>
      <w:r>
        <w:rPr>
          <w:rFonts w:hint="default" w:ascii="宋体" w:hAnsi="宋体" w:cs="宋体"/>
          <w:sz w:val="24"/>
          <w:highlight w:val="none"/>
          <w:lang w:val="en-US" w:eastAsia="zh-CN"/>
        </w:rPr>
        <w:t>保密要求</w:t>
      </w:r>
    </w:p>
    <w:p w14:paraId="1E471C5D">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default" w:ascii="宋体" w:hAnsi="宋体" w:cs="宋体"/>
          <w:sz w:val="24"/>
          <w:highlight w:val="none"/>
          <w:lang w:val="en-US" w:eastAsia="zh-CN"/>
        </w:rPr>
        <w:t>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14:paraId="15823712">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kern w:val="2"/>
          <w:sz w:val="24"/>
          <w:szCs w:val="24"/>
          <w:lang w:val="en-US" w:eastAsia="zh-CN" w:bidi="ar-SA"/>
        </w:rPr>
      </w:pPr>
      <w:r>
        <w:rPr>
          <w:rFonts w:hint="eastAsia" w:ascii="宋体" w:hAnsi="宋体" w:cs="宋体"/>
          <w:b/>
          <w:bCs/>
          <w:kern w:val="2"/>
          <w:sz w:val="24"/>
          <w:szCs w:val="24"/>
          <w:lang w:val="en-US" w:eastAsia="zh-CN" w:bidi="ar-SA"/>
        </w:rPr>
        <w:t>十一</w:t>
      </w:r>
      <w:r>
        <w:rPr>
          <w:rFonts w:hint="eastAsia" w:ascii="宋体" w:hAnsi="宋体" w:eastAsia="宋体" w:cs="宋体"/>
          <w:b/>
          <w:bCs/>
          <w:kern w:val="2"/>
          <w:sz w:val="24"/>
          <w:szCs w:val="24"/>
          <w:lang w:val="en-US" w:eastAsia="zh-CN" w:bidi="ar-SA"/>
        </w:rPr>
        <w:t>、合同争议解决的方式</w:t>
      </w:r>
    </w:p>
    <w:p w14:paraId="1BD357B4">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本合同在履行过程中发生争议的，由甲、乙双方协商解决，协商不成的，双方同意提交甲方所在地人民法院裁决。</w:t>
      </w:r>
    </w:p>
    <w:p w14:paraId="0689270A">
      <w:pPr>
        <w:keepNext w:val="0"/>
        <w:keepLines w:val="0"/>
        <w:pageBreakBefore w:val="0"/>
        <w:widowControl w:val="0"/>
        <w:numPr>
          <w:ilvl w:val="0"/>
          <w:numId w:val="0"/>
        </w:numPr>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w:t>
      </w:r>
      <w:r>
        <w:rPr>
          <w:rFonts w:hint="eastAsia" w:ascii="宋体" w:hAnsi="宋体" w:cs="宋体"/>
          <w:b/>
          <w:bCs/>
          <w:kern w:val="2"/>
          <w:sz w:val="24"/>
          <w:szCs w:val="24"/>
          <w:lang w:val="en-US" w:eastAsia="zh-CN" w:bidi="ar-SA"/>
        </w:rPr>
        <w:t>二</w:t>
      </w:r>
      <w:r>
        <w:rPr>
          <w:rFonts w:hint="eastAsia" w:ascii="宋体" w:hAnsi="宋体" w:eastAsia="宋体" w:cs="宋体"/>
          <w:b/>
          <w:bCs/>
          <w:kern w:val="2"/>
          <w:sz w:val="24"/>
          <w:szCs w:val="24"/>
          <w:lang w:val="en-US" w:eastAsia="zh-CN" w:bidi="ar-SA"/>
        </w:rPr>
        <w:t>、其他事项</w:t>
      </w:r>
    </w:p>
    <w:p w14:paraId="4739DEF6">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 xml:space="preserve">    </w:t>
      </w:r>
      <w:r>
        <w:rPr>
          <w:rFonts w:hint="eastAsia" w:ascii="宋体" w:hAnsi="宋体" w:eastAsia="宋体" w:cs="宋体"/>
          <w:kern w:val="2"/>
          <w:sz w:val="24"/>
          <w:szCs w:val="24"/>
          <w:lang w:val="en-US" w:eastAsia="zh-CN" w:bidi="ar-SA"/>
        </w:rPr>
        <w:t>1、本项目不允许分包。</w:t>
      </w:r>
    </w:p>
    <w:p w14:paraId="1BE2EB5F">
      <w:pPr>
        <w:keepNext w:val="0"/>
        <w:keepLines w:val="0"/>
        <w:pageBreakBefore w:val="0"/>
        <w:widowControl w:val="0"/>
        <w:kinsoku/>
        <w:wordWrap/>
        <w:overflowPunct/>
        <w:topLinePunct w:val="0"/>
        <w:bidi w:val="0"/>
        <w:snapToGrid w:val="0"/>
        <w:spacing w:line="360" w:lineRule="auto"/>
        <w:ind w:left="-2" w:leftChars="-1"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2、本合同一式</w:t>
      </w:r>
      <w:r>
        <w:rPr>
          <w:rFonts w:hint="eastAsia" w:ascii="宋体" w:hAnsi="宋体" w:cs="宋体"/>
          <w:kern w:val="2"/>
          <w:sz w:val="24"/>
          <w:szCs w:val="24"/>
          <w:lang w:val="en-US" w:eastAsia="zh-CN" w:bidi="ar-SA"/>
        </w:rPr>
        <w:t>捌</w:t>
      </w:r>
      <w:r>
        <w:rPr>
          <w:rFonts w:hint="eastAsia" w:ascii="宋体" w:hAnsi="宋体" w:eastAsia="宋体" w:cs="宋体"/>
          <w:kern w:val="2"/>
          <w:sz w:val="24"/>
          <w:szCs w:val="24"/>
          <w:lang w:val="en-US" w:eastAsia="zh-CN" w:bidi="ar-SA"/>
        </w:rPr>
        <w:t>份，甲方执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份，乙方执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份，自双签字盖章之日起生效。</w:t>
      </w:r>
    </w:p>
    <w:tbl>
      <w:tblPr>
        <w:tblStyle w:val="4"/>
        <w:tblpPr w:leftFromText="180" w:rightFromText="180" w:vertAnchor="text" w:horzAnchor="page" w:tblpXSpec="center" w:tblpY="30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5"/>
        <w:gridCol w:w="4326"/>
      </w:tblGrid>
      <w:tr w14:paraId="2D56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181BFB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lang w:eastAsia="zh-CN"/>
              </w:rPr>
            </w:pPr>
            <w:r>
              <w:rPr>
                <w:rFonts w:hint="eastAsia" w:ascii="宋体" w:hAnsi="宋体" w:eastAsia="宋体" w:cs="宋体"/>
                <w:b/>
                <w:color w:val="000000"/>
                <w:sz w:val="24"/>
                <w:szCs w:val="24"/>
              </w:rPr>
              <w:t>甲方：（盖章）陕西省高速公路收费中心</w:t>
            </w:r>
          </w:p>
        </w:tc>
        <w:tc>
          <w:tcPr>
            <w:tcW w:w="4326" w:type="dxa"/>
            <w:noWrap w:val="0"/>
            <w:vAlign w:val="center"/>
          </w:tcPr>
          <w:p w14:paraId="661B0737">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b/>
                <w:color w:val="000000"/>
                <w:sz w:val="24"/>
                <w:szCs w:val="24"/>
              </w:rPr>
              <w:t>乙方：（盖章）</w:t>
            </w:r>
          </w:p>
        </w:tc>
      </w:tr>
      <w:tr w14:paraId="1488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955" w:type="dxa"/>
            <w:noWrap w:val="0"/>
            <w:vAlign w:val="center"/>
          </w:tcPr>
          <w:p w14:paraId="27BAB076">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p>
          <w:p w14:paraId="4C993A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法人（签字或盖章）：</w:t>
            </w:r>
          </w:p>
          <w:p w14:paraId="018C615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p>
        </w:tc>
        <w:tc>
          <w:tcPr>
            <w:tcW w:w="4326" w:type="dxa"/>
            <w:noWrap w:val="0"/>
            <w:vAlign w:val="center"/>
          </w:tcPr>
          <w:p w14:paraId="5E67CE9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法人（签字或盖章）：</w:t>
            </w:r>
          </w:p>
        </w:tc>
      </w:tr>
      <w:tr w14:paraId="53B8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4955" w:type="dxa"/>
            <w:noWrap w:val="0"/>
            <w:vAlign w:val="center"/>
          </w:tcPr>
          <w:p w14:paraId="1E3DA657">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委托代理人：</w:t>
            </w:r>
          </w:p>
        </w:tc>
        <w:tc>
          <w:tcPr>
            <w:tcW w:w="4326" w:type="dxa"/>
            <w:noWrap w:val="0"/>
            <w:vAlign w:val="center"/>
          </w:tcPr>
          <w:p w14:paraId="1945283F">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委托代理人：</w:t>
            </w:r>
          </w:p>
        </w:tc>
      </w:tr>
      <w:tr w14:paraId="10B8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55" w:type="dxa"/>
            <w:noWrap w:val="0"/>
            <w:vAlign w:val="center"/>
          </w:tcPr>
          <w:p w14:paraId="37A3074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办公地址：</w:t>
            </w:r>
          </w:p>
        </w:tc>
        <w:tc>
          <w:tcPr>
            <w:tcW w:w="4326" w:type="dxa"/>
            <w:noWrap w:val="0"/>
            <w:vAlign w:val="center"/>
          </w:tcPr>
          <w:p w14:paraId="3825149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办公地址：</w:t>
            </w:r>
          </w:p>
        </w:tc>
      </w:tr>
      <w:tr w14:paraId="1FB8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955" w:type="dxa"/>
            <w:noWrap w:val="0"/>
            <w:vAlign w:val="center"/>
          </w:tcPr>
          <w:p w14:paraId="012E38DF">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    话：</w:t>
            </w:r>
          </w:p>
        </w:tc>
        <w:tc>
          <w:tcPr>
            <w:tcW w:w="4326" w:type="dxa"/>
            <w:noWrap w:val="0"/>
            <w:vAlign w:val="center"/>
          </w:tcPr>
          <w:p w14:paraId="6C5D795B">
            <w:pPr>
              <w:keepNext w:val="0"/>
              <w:keepLines w:val="0"/>
              <w:pageBreakBefore w:val="0"/>
              <w:kinsoku/>
              <w:wordWrap/>
              <w:overflowPunct/>
              <w:topLinePunct w:val="0"/>
              <w:bidi w:val="0"/>
              <w:snapToGrid w:val="0"/>
              <w:spacing w:line="360" w:lineRule="auto"/>
              <w:ind w:left="5520" w:hanging="5520" w:hangingChars="2300"/>
              <w:jc w:val="left"/>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电    话：</w:t>
            </w:r>
          </w:p>
        </w:tc>
      </w:tr>
      <w:tr w14:paraId="248B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4E94C30">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传    真：</w:t>
            </w:r>
          </w:p>
        </w:tc>
        <w:tc>
          <w:tcPr>
            <w:tcW w:w="4326" w:type="dxa"/>
            <w:noWrap w:val="0"/>
            <w:vAlign w:val="center"/>
          </w:tcPr>
          <w:p w14:paraId="160E241B">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传    真：</w:t>
            </w:r>
          </w:p>
        </w:tc>
      </w:tr>
      <w:tr w14:paraId="35B2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643EFA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spacing w:val="20"/>
                <w:kern w:val="2"/>
                <w:sz w:val="24"/>
                <w:szCs w:val="24"/>
                <w:lang w:val="en-US" w:eastAsia="zh-CN" w:bidi="ar-SA"/>
              </w:rPr>
            </w:pPr>
            <w:r>
              <w:rPr>
                <w:rFonts w:hint="eastAsia" w:ascii="宋体" w:hAnsi="宋体" w:eastAsia="宋体" w:cs="宋体"/>
                <w:color w:val="000000"/>
                <w:kern w:val="0"/>
                <w:sz w:val="24"/>
                <w:szCs w:val="24"/>
                <w:lang w:val="en-US" w:eastAsia="zh-CN" w:bidi="ar-SA"/>
              </w:rPr>
              <w:t>开户银行：</w:t>
            </w:r>
          </w:p>
        </w:tc>
        <w:tc>
          <w:tcPr>
            <w:tcW w:w="4326" w:type="dxa"/>
            <w:noWrap w:val="0"/>
            <w:vAlign w:val="center"/>
          </w:tcPr>
          <w:p w14:paraId="71D19C5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开户银行：</w:t>
            </w:r>
          </w:p>
        </w:tc>
      </w:tr>
      <w:tr w14:paraId="115C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953B9B0">
            <w:pPr>
              <w:keepNext w:val="0"/>
              <w:keepLines w:val="0"/>
              <w:pageBreakBefore w:val="0"/>
              <w:widowControl w:val="0"/>
              <w:kinsoku/>
              <w:wordWrap/>
              <w:overflowPunct/>
              <w:topLinePunct w:val="0"/>
              <w:bidi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val="en-US" w:eastAsia="zh-CN" w:bidi="ar-SA"/>
              </w:rPr>
              <w:t>帐号：</w:t>
            </w:r>
          </w:p>
        </w:tc>
        <w:tc>
          <w:tcPr>
            <w:tcW w:w="4326" w:type="dxa"/>
            <w:noWrap w:val="0"/>
            <w:vAlign w:val="center"/>
          </w:tcPr>
          <w:p w14:paraId="74CF2F8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账号：</w:t>
            </w:r>
          </w:p>
        </w:tc>
      </w:tr>
      <w:tr w14:paraId="4188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955" w:type="dxa"/>
            <w:noWrap w:val="0"/>
            <w:vAlign w:val="center"/>
          </w:tcPr>
          <w:p w14:paraId="0DE2508C">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日   期：    年  月  日</w:t>
            </w:r>
          </w:p>
        </w:tc>
        <w:tc>
          <w:tcPr>
            <w:tcW w:w="4326" w:type="dxa"/>
            <w:noWrap w:val="0"/>
            <w:vAlign w:val="center"/>
          </w:tcPr>
          <w:p w14:paraId="063F9725">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日    期：    年  月  日</w:t>
            </w:r>
          </w:p>
        </w:tc>
      </w:tr>
    </w:tbl>
    <w:p w14:paraId="5E769AD1"/>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31EC4"/>
    <w:rsid w:val="03D476DB"/>
    <w:rsid w:val="1BA31EC4"/>
    <w:rsid w:val="36796ED3"/>
    <w:rsid w:val="3CDC1D33"/>
    <w:rsid w:val="49EC1F0C"/>
    <w:rsid w:val="4C4836F4"/>
    <w:rsid w:val="56EA3C09"/>
    <w:rsid w:val="5CD1692A"/>
    <w:rsid w:val="60434EA7"/>
    <w:rsid w:val="66072951"/>
    <w:rsid w:val="69596FA6"/>
    <w:rsid w:val="6B1271E1"/>
    <w:rsid w:val="6BB81597"/>
    <w:rsid w:val="788E6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15"/>
    </w:pPr>
    <w:rPr>
      <w:sz w:val="28"/>
      <w:szCs w:val="28"/>
    </w:rPr>
  </w:style>
  <w:style w:type="paragraph" w:styleId="3">
    <w:name w:val="annotation text"/>
    <w:basedOn w:val="1"/>
    <w:qFormat/>
    <w:uiPriority w:val="0"/>
    <w:pPr>
      <w:jc w:val="left"/>
    </w:p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820</Words>
  <Characters>868</Characters>
  <Lines>0</Lines>
  <Paragraphs>0</Paragraphs>
  <TotalTime>5</TotalTime>
  <ScaleCrop>false</ScaleCrop>
  <LinksUpToDate>false</LinksUpToDate>
  <CharactersWithSpaces>921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2025-03-04T01:48:00Z</dcterms:created>
  <dc:creator>王天鹏</dc:creator>
  <cp:lastModifiedBy>王天鹏</cp:lastModifiedBy>
  <dcterms:modified xsi:type="dcterms:W3CDTF">2025-03-17T03:47:42Z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3F972D066DE144199F734E82D70BF23E_13</vt:lpwstr>
  </property>
  <property fmtid="{D5CDD505-2E9C-101B-9397-08002B2CF9AE}" pid="4" name="KSOTemplateDocerSaveRecord">
    <vt:lpwstr>eyJoZGlkIjoiNDBjYzFmMWQzOTQxOWZlZWZlNGU0MzAyNTQzODJmZWMiLCJ1c2VySWQiOiIzOTg2MDAyMTkifQ==</vt:lpwstr>
  </property>
</Properties>
</file>