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版本号：THXZB2025-100920250513001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中心信息系统等级保护测评</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THXZB2025-1009</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中心信息系统等级保护测评</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中心信息系统等级保护测评</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心信息系统等级保护测评项目预算44万元，主要为保障中心信息系统安全稳定运行，按照国家等级保护要求，结合系统业务实际情况及安全现状，依据国家相关信息安全政策及技术标准，对中心信息系统开展等级保护测评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采购包1（中心信息系统等级保护测评）：属于专门面向中小企业采购。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pPr>
        <w:pStyle w:val="null3"/>
      </w:pPr>
      <w:r>
        <w:rPr>
          <w:rFonts w:ascii="仿宋_GB2312" w:hAnsi="仿宋_GB2312" w:cs="仿宋_GB2312" w:eastAsia="仿宋_GB2312"/>
        </w:rPr>
        <w:t>9、中小企业声明函：提供中小企业声明函。（本项目属于专门面向中小企业采购项目）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陕西省西安市雁塔区陕西省西安市高新区唐延南路8号泰维智链中心二期南楼1602室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代理服务费收费标准：成交供应商按照国家计委关于印发《招标代理服 务收费管理暂行办法》的通知（计价格〔2002〕1980号）、《国家发展和改革委员会办公厅 关于招标代理服务收费有关问题的通知》（发改办价格〔2003〕857号）文件取费标准优惠12 %向招标代理机构一次性支付招标代理服务费。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联系人：王天鹏</w:t>
      </w:r>
    </w:p>
    <w:p>
      <w:pPr>
        <w:pStyle w:val="null3"/>
      </w:pPr>
      <w:r>
        <w:rPr>
          <w:rFonts w:ascii="仿宋_GB2312" w:hAnsi="仿宋_GB2312" w:cs="仿宋_GB2312" w:eastAsia="仿宋_GB2312"/>
        </w:rPr>
        <w:t>联系电话：029-88210791</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心信息系统等级保护测评项目预算44万元，主要为保障中心信息系统安全稳定运行，按照国家等级保护要求，结合系统业务实际情况及安全现状，依据国家相关信息安全政策及技术标准，对中心信息系统开展等级保护测评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440,000.00</w:t>
      </w:r>
    </w:p>
    <w:p>
      <w:pPr>
        <w:pStyle w:val="null3"/>
      </w:pPr>
      <w:r>
        <w:rPr>
          <w:rFonts w:ascii="仿宋_GB2312" w:hAnsi="仿宋_GB2312" w:cs="仿宋_GB2312" w:eastAsia="仿宋_GB2312"/>
        </w:rPr>
        <w:t>采购包最高限价（元）: 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中心信息系统等级保护测评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标的名称：中心信息系统等级保护测评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18"/>
              </w:rPr>
              <w:t>安全等级保护测评服务范围：安全等级保护测评共包含</w:t>
            </w:r>
            <w:r>
              <w:rPr>
                <w:rFonts w:ascii="仿宋_GB2312" w:hAnsi="仿宋_GB2312" w:cs="仿宋_GB2312" w:eastAsia="仿宋_GB2312"/>
                <w:sz w:val="18"/>
              </w:rPr>
              <w:t>3</w:t>
            </w:r>
            <w:r>
              <w:rPr>
                <w:rFonts w:ascii="仿宋_GB2312" w:hAnsi="仿宋_GB2312" w:cs="仿宋_GB2312" w:eastAsia="仿宋_GB2312"/>
                <w:sz w:val="18"/>
              </w:rPr>
              <w:t>个第三级信息系统，</w:t>
            </w:r>
            <w:r>
              <w:rPr>
                <w:rFonts w:ascii="仿宋_GB2312" w:hAnsi="仿宋_GB2312" w:cs="仿宋_GB2312" w:eastAsia="仿宋_GB2312"/>
                <w:sz w:val="18"/>
              </w:rPr>
              <w:t>4</w:t>
            </w:r>
            <w:r>
              <w:rPr>
                <w:rFonts w:ascii="仿宋_GB2312" w:hAnsi="仿宋_GB2312" w:cs="仿宋_GB2312" w:eastAsia="仿宋_GB2312"/>
                <w:sz w:val="18"/>
              </w:rPr>
              <w:t>个第二级信息系统，系统名称及对应等级详见下表。</w:t>
            </w:r>
          </w:p>
          <w:tbl>
            <w:tblPr>
              <w:tblInd w:type="dxa" w:w="120"/>
              <w:tblBorders>
                <w:top w:val="none" w:color="000000" w:sz="4"/>
                <w:left w:val="none" w:color="000000" w:sz="4"/>
                <w:bottom w:val="none" w:color="000000" w:sz="4"/>
                <w:right w:val="none" w:color="000000" w:sz="4"/>
                <w:insideH w:val="none"/>
                <w:insideV w:val="none"/>
              </w:tblBorders>
            </w:tblPr>
            <w:tblGrid>
              <w:gridCol w:w="540"/>
              <w:gridCol w:w="2013"/>
            </w:tblGrid>
            <w:tr>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安全等级</w:t>
                  </w:r>
                </w:p>
              </w:tc>
              <w:tc>
                <w:tcPr>
                  <w:tcW w:type="dxa" w:w="20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系统名称</w:t>
                  </w:r>
                </w:p>
              </w:tc>
            </w:tr>
            <w:tr>
              <w:tc>
                <w:tcPr>
                  <w:tcW w:type="dxa" w:w="5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第三级</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陕西省高速公路联网收费系统（省中心）</w:t>
                  </w:r>
                </w:p>
              </w:tc>
            </w:tr>
            <w:tr>
              <w:tc>
                <w:tcPr>
                  <w:tcW w:type="dxa" w:w="540"/>
                  <w:vMerge/>
                  <w:tcBorders>
                    <w:top w:val="none" w:color="000000" w:sz="4"/>
                    <w:left w:val="single" w:color="000000" w:sz="4"/>
                    <w:bottom w:val="single" w:color="000000" w:sz="4"/>
                    <w:right w:val="single" w:color="000000" w:sz="4"/>
                  </w:tcBorders>
                </w:tcP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陕西省高速公路</w:t>
                  </w:r>
                  <w:r>
                    <w:rPr>
                      <w:rFonts w:ascii="仿宋_GB2312" w:hAnsi="仿宋_GB2312" w:cs="仿宋_GB2312" w:eastAsia="仿宋_GB2312"/>
                      <w:sz w:val="18"/>
                    </w:rPr>
                    <w:t>ETC发行服务系统</w:t>
                  </w:r>
                </w:p>
              </w:tc>
            </w:tr>
            <w:tr>
              <w:tc>
                <w:tcPr>
                  <w:tcW w:type="dxa" w:w="540"/>
                  <w:vMerge/>
                  <w:tcBorders>
                    <w:top w:val="none" w:color="000000" w:sz="4"/>
                    <w:left w:val="single" w:color="000000" w:sz="4"/>
                    <w:bottom w:val="single" w:color="000000" w:sz="4"/>
                    <w:right w:val="single" w:color="000000" w:sz="4"/>
                  </w:tcBorders>
                </w:tcP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陕西</w:t>
                  </w:r>
                  <w:r>
                    <w:rPr>
                      <w:rFonts w:ascii="仿宋_GB2312" w:hAnsi="仿宋_GB2312" w:cs="仿宋_GB2312" w:eastAsia="仿宋_GB2312"/>
                      <w:sz w:val="18"/>
                    </w:rPr>
                    <w:t>ETC网厅</w:t>
                  </w:r>
                </w:p>
              </w:tc>
            </w:tr>
            <w:tr>
              <w:tc>
                <w:tcPr>
                  <w:tcW w:type="dxa" w:w="5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第二级</w:t>
                  </w: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陕西省高速公路收费稽查信息电子报送系统</w:t>
                  </w:r>
                </w:p>
              </w:tc>
            </w:tr>
            <w:tr>
              <w:tc>
                <w:tcPr>
                  <w:tcW w:type="dxa" w:w="540"/>
                  <w:vMerge/>
                  <w:tcBorders>
                    <w:top w:val="none" w:color="000000" w:sz="4"/>
                    <w:left w:val="single" w:color="000000" w:sz="4"/>
                    <w:bottom w:val="single" w:color="000000" w:sz="4"/>
                    <w:right w:val="single" w:color="000000" w:sz="4"/>
                  </w:tcBorders>
                </w:tcP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陕西省高速公路省级视频云联网监测系统（含陕西省高速公路收费站拥堵监测预警系统、陕西高管通）</w:t>
                  </w:r>
                </w:p>
              </w:tc>
            </w:tr>
            <w:tr>
              <w:tc>
                <w:tcPr>
                  <w:tcW w:type="dxa" w:w="540"/>
                  <w:vMerge/>
                  <w:tcBorders>
                    <w:top w:val="none" w:color="000000" w:sz="4"/>
                    <w:left w:val="single" w:color="000000" w:sz="4"/>
                    <w:bottom w:val="single" w:color="000000" w:sz="4"/>
                    <w:right w:val="single" w:color="000000" w:sz="4"/>
                  </w:tcBorders>
                </w:tcP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互联网</w:t>
                  </w:r>
                  <w:r>
                    <w:rPr>
                      <w:rFonts w:ascii="仿宋_GB2312" w:hAnsi="仿宋_GB2312" w:cs="仿宋_GB2312" w:eastAsia="仿宋_GB2312"/>
                      <w:sz w:val="18"/>
                    </w:rPr>
                    <w:t>+高速公路公众出行服务平台（含陕西省高速公路服务区充电基础设施“随手查”平台）</w:t>
                  </w:r>
                </w:p>
              </w:tc>
            </w:tr>
            <w:tr>
              <w:tc>
                <w:tcPr>
                  <w:tcW w:type="dxa" w:w="540"/>
                  <w:vMerge/>
                  <w:tcBorders>
                    <w:top w:val="none" w:color="000000" w:sz="4"/>
                    <w:left w:val="single" w:color="000000" w:sz="4"/>
                    <w:bottom w:val="single" w:color="000000" w:sz="4"/>
                    <w:right w:val="single" w:color="000000" w:sz="4"/>
                  </w:tcBorders>
                </w:tcPr>
                <w:p/>
              </w:tc>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陕西省高速公路通行数据分析展现系统</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18"/>
              </w:rPr>
              <w:t>1.《中华人民共和国网络安全法》（</w:t>
            </w:r>
            <w:r>
              <w:rPr>
                <w:rFonts w:ascii="仿宋_GB2312" w:hAnsi="仿宋_GB2312" w:cs="仿宋_GB2312" w:eastAsia="仿宋_GB2312"/>
                <w:sz w:val="18"/>
              </w:rPr>
              <w:t>中华人民共和国主席令第</w:t>
            </w:r>
            <w:r>
              <w:rPr>
                <w:rFonts w:ascii="仿宋_GB2312" w:hAnsi="仿宋_GB2312" w:cs="仿宋_GB2312" w:eastAsia="仿宋_GB2312"/>
                <w:sz w:val="18"/>
              </w:rPr>
              <w:t>53号</w:t>
            </w:r>
            <w:r>
              <w:rPr>
                <w:rFonts w:ascii="仿宋_GB2312" w:hAnsi="仿宋_GB2312" w:cs="仿宋_GB2312" w:eastAsia="仿宋_GB2312"/>
                <w:sz w:val="18"/>
              </w:rPr>
              <w:t>）</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2</w:t>
            </w:r>
            <w:r>
              <w:rPr>
                <w:rFonts w:ascii="仿宋_GB2312" w:hAnsi="仿宋_GB2312" w:cs="仿宋_GB2312" w:eastAsia="仿宋_GB2312"/>
                <w:sz w:val="18"/>
              </w:rPr>
              <w:t>.《信息安全技术 网络安全等级保护基本要求》（GB/T22239-2019）；</w:t>
            </w:r>
          </w:p>
          <w:p>
            <w:pPr>
              <w:pStyle w:val="null3"/>
              <w:ind w:firstLine="400"/>
              <w:jc w:val="both"/>
            </w:pPr>
            <w:r>
              <w:rPr>
                <w:rFonts w:ascii="仿宋_GB2312" w:hAnsi="仿宋_GB2312" w:cs="仿宋_GB2312" w:eastAsia="仿宋_GB2312"/>
                <w:sz w:val="18"/>
              </w:rPr>
              <w:t>3</w:t>
            </w:r>
            <w:r>
              <w:rPr>
                <w:rFonts w:ascii="仿宋_GB2312" w:hAnsi="仿宋_GB2312" w:cs="仿宋_GB2312" w:eastAsia="仿宋_GB2312"/>
                <w:sz w:val="18"/>
              </w:rPr>
              <w:t>.《信息安全技术 网络安全等级保护测评要求》（GB∕T 28448-2019）</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4</w:t>
            </w:r>
            <w:r>
              <w:rPr>
                <w:rFonts w:ascii="仿宋_GB2312" w:hAnsi="仿宋_GB2312" w:cs="仿宋_GB2312" w:eastAsia="仿宋_GB2312"/>
                <w:sz w:val="18"/>
              </w:rPr>
              <w:t>.《信息安全技术 网络安全等级保护测评过程指南》（GB∕T 28449-2018）</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5</w:t>
            </w:r>
            <w:r>
              <w:rPr>
                <w:rFonts w:ascii="仿宋_GB2312" w:hAnsi="仿宋_GB2312" w:cs="仿宋_GB2312" w:eastAsia="仿宋_GB2312"/>
                <w:sz w:val="18"/>
              </w:rPr>
              <w:t>.《信息安全等级保护管理办法》（公通字〔2007〕43号）；</w:t>
            </w:r>
          </w:p>
          <w:p>
            <w:pPr>
              <w:pStyle w:val="null3"/>
              <w:ind w:firstLine="400"/>
              <w:jc w:val="both"/>
            </w:pPr>
            <w:r>
              <w:rPr>
                <w:rFonts w:ascii="仿宋_GB2312" w:hAnsi="仿宋_GB2312" w:cs="仿宋_GB2312" w:eastAsia="仿宋_GB2312"/>
                <w:sz w:val="18"/>
              </w:rPr>
              <w:t>6</w:t>
            </w:r>
            <w:r>
              <w:rPr>
                <w:rFonts w:ascii="仿宋_GB2312" w:hAnsi="仿宋_GB2312" w:cs="仿宋_GB2312" w:eastAsia="仿宋_GB2312"/>
                <w:sz w:val="18"/>
              </w:rPr>
              <w:t>.西安市人民政府办公厅关于转发西安市信息安全等级保护管理工作实施意见的通知（市政办函〔2014〕155号）</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收费公路联网收费系统</w:t>
            </w:r>
            <w:r>
              <w:rPr>
                <w:rFonts w:ascii="仿宋_GB2312" w:hAnsi="仿宋_GB2312" w:cs="仿宋_GB2312" w:eastAsia="仿宋_GB2312"/>
                <w:sz w:val="18"/>
              </w:rPr>
              <w:t>网络安全管理暂行办法》（</w:t>
            </w:r>
            <w:r>
              <w:rPr>
                <w:rFonts w:ascii="仿宋_GB2312" w:hAnsi="仿宋_GB2312" w:cs="仿宋_GB2312" w:eastAsia="仿宋_GB2312"/>
                <w:sz w:val="18"/>
              </w:rPr>
              <w:t>交科技发</w:t>
            </w:r>
            <w:r>
              <w:rPr>
                <w:rFonts w:ascii="仿宋_GB2312" w:hAnsi="仿宋_GB2312" w:cs="仿宋_GB2312" w:eastAsia="仿宋_GB2312"/>
                <w:sz w:val="18"/>
              </w:rPr>
              <w:t>〔</w:t>
            </w:r>
            <w:r>
              <w:rPr>
                <w:rFonts w:ascii="仿宋_GB2312" w:hAnsi="仿宋_GB2312" w:cs="仿宋_GB2312" w:eastAsia="仿宋_GB2312"/>
                <w:sz w:val="18"/>
              </w:rPr>
              <w:t>2019〕</w:t>
            </w:r>
            <w:r>
              <w:rPr>
                <w:rFonts w:ascii="仿宋_GB2312" w:hAnsi="仿宋_GB2312" w:cs="仿宋_GB2312" w:eastAsia="仿宋_GB2312"/>
                <w:sz w:val="18"/>
              </w:rPr>
              <w:t>86</w:t>
            </w:r>
            <w:r>
              <w:rPr>
                <w:rFonts w:ascii="仿宋_GB2312" w:hAnsi="仿宋_GB2312" w:cs="仿宋_GB2312" w:eastAsia="仿宋_GB2312"/>
                <w:sz w:val="18"/>
              </w:rPr>
              <w:t>号）</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8.</w:t>
            </w:r>
            <w:r>
              <w:rPr>
                <w:rFonts w:ascii="仿宋_GB2312" w:hAnsi="仿宋_GB2312" w:cs="仿宋_GB2312" w:eastAsia="仿宋_GB2312"/>
                <w:sz w:val="18"/>
              </w:rPr>
              <w:t>《陕西省交通运输厅网络安全管理暂行办法》（陕交发〔</w:t>
            </w:r>
            <w:r>
              <w:rPr>
                <w:rFonts w:ascii="仿宋_GB2312" w:hAnsi="仿宋_GB2312" w:cs="仿宋_GB2312" w:eastAsia="仿宋_GB2312"/>
                <w:sz w:val="18"/>
              </w:rPr>
              <w:t>2019〕12号）</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9</w:t>
            </w:r>
            <w:r>
              <w:rPr>
                <w:rFonts w:ascii="仿宋_GB2312" w:hAnsi="仿宋_GB2312" w:cs="仿宋_GB2312" w:eastAsia="仿宋_GB2312"/>
                <w:sz w:val="18"/>
              </w:rPr>
              <w:t>.《陕西省高速公路联网收费系统网络安全总体方案》（陕交发〔2019〕88号）</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0"/>
              <w:jc w:val="both"/>
            </w:pPr>
            <w:r>
              <w:rPr>
                <w:rFonts w:ascii="仿宋_GB2312" w:hAnsi="仿宋_GB2312" w:cs="仿宋_GB2312" w:eastAsia="仿宋_GB2312"/>
                <w:sz w:val="18"/>
              </w:rPr>
              <w:t>（一）</w:t>
            </w:r>
            <w:r>
              <w:rPr>
                <w:rFonts w:ascii="仿宋_GB2312" w:hAnsi="仿宋_GB2312" w:cs="仿宋_GB2312" w:eastAsia="仿宋_GB2312"/>
                <w:sz w:val="18"/>
              </w:rPr>
              <w:t>服务内容</w:t>
            </w:r>
          </w:p>
          <w:p>
            <w:pPr>
              <w:pStyle w:val="null3"/>
              <w:ind w:firstLine="400"/>
              <w:jc w:val="both"/>
            </w:pPr>
            <w:r>
              <w:rPr>
                <w:rFonts w:ascii="仿宋_GB2312" w:hAnsi="仿宋_GB2312" w:cs="仿宋_GB2312" w:eastAsia="仿宋_GB2312"/>
                <w:sz w:val="18"/>
              </w:rPr>
              <w:t>根据网络安全等级保护相关要求，通过访谈、文档查阅、实地勘看、配置核查、工具测试</w:t>
            </w:r>
            <w:r>
              <w:rPr>
                <w:rFonts w:ascii="仿宋_GB2312" w:hAnsi="仿宋_GB2312" w:cs="仿宋_GB2312" w:eastAsia="仿宋_GB2312"/>
                <w:sz w:val="18"/>
              </w:rPr>
              <w:t>、漏洞扫描</w:t>
            </w:r>
            <w:r>
              <w:rPr>
                <w:rFonts w:ascii="仿宋_GB2312" w:hAnsi="仿宋_GB2312" w:cs="仿宋_GB2312" w:eastAsia="仿宋_GB2312"/>
                <w:sz w:val="18"/>
              </w:rPr>
              <w:t>等</w:t>
            </w:r>
            <w:r>
              <w:rPr>
                <w:rFonts w:ascii="仿宋_GB2312" w:hAnsi="仿宋_GB2312" w:cs="仿宋_GB2312" w:eastAsia="仿宋_GB2312"/>
                <w:sz w:val="18"/>
              </w:rPr>
              <w:t>方式</w:t>
            </w:r>
            <w:r>
              <w:rPr>
                <w:rFonts w:ascii="仿宋_GB2312" w:hAnsi="仿宋_GB2312" w:cs="仿宋_GB2312" w:eastAsia="仿宋_GB2312"/>
                <w:sz w:val="18"/>
              </w:rPr>
              <w:t>，对信息系统在管理和技术两大方面进行测评，内容包括但不限于安全管理制度、安全管理机构、安全管理人员、安全建设管理、安全运维管理、安全物理环境、安全通信网络、安全区域边界、安全计算环境、安全管理中心等方面，同时，协助陕西省高速公路收费中心完成网络安全整改，通过等级保护测评。</w:t>
            </w:r>
          </w:p>
          <w:p>
            <w:pPr>
              <w:pStyle w:val="null3"/>
              <w:ind w:firstLine="400"/>
              <w:jc w:val="both"/>
            </w:pPr>
            <w:r>
              <w:rPr>
                <w:rFonts w:ascii="仿宋_GB2312" w:hAnsi="仿宋_GB2312" w:cs="仿宋_GB2312" w:eastAsia="仿宋_GB2312"/>
                <w:sz w:val="18"/>
              </w:rPr>
              <w:t>1.</w:t>
            </w:r>
            <w:r>
              <w:rPr>
                <w:rFonts w:ascii="仿宋_GB2312" w:hAnsi="仿宋_GB2312" w:cs="仿宋_GB2312" w:eastAsia="仿宋_GB2312"/>
                <w:sz w:val="18"/>
              </w:rPr>
              <w:t>安全管理制度</w:t>
            </w:r>
          </w:p>
          <w:p>
            <w:pPr>
              <w:pStyle w:val="null3"/>
              <w:ind w:firstLine="400"/>
              <w:jc w:val="both"/>
            </w:pPr>
            <w:r>
              <w:rPr>
                <w:rFonts w:ascii="仿宋_GB2312" w:hAnsi="仿宋_GB2312" w:cs="仿宋_GB2312" w:eastAsia="仿宋_GB2312"/>
                <w:sz w:val="18"/>
              </w:rPr>
              <w:t>通过访谈、文档查阅</w:t>
            </w:r>
            <w:r>
              <w:rPr>
                <w:rFonts w:ascii="仿宋_GB2312" w:hAnsi="仿宋_GB2312" w:cs="仿宋_GB2312" w:eastAsia="仿宋_GB2312"/>
                <w:sz w:val="18"/>
              </w:rPr>
              <w:t>的方式，核查安全管理要求、安全管理策略、管理操作规程等安全管理制度，发现缺失管理制度；核查是否</w:t>
            </w:r>
            <w:r>
              <w:rPr>
                <w:rFonts w:ascii="仿宋_GB2312" w:hAnsi="仿宋_GB2312" w:cs="仿宋_GB2312" w:eastAsia="仿宋_GB2312"/>
                <w:sz w:val="18"/>
              </w:rPr>
              <w:t>指定或授权专门的部门或人员负责安全管理制度的制定</w:t>
            </w:r>
            <w:r>
              <w:rPr>
                <w:rFonts w:ascii="仿宋_GB2312" w:hAnsi="仿宋_GB2312" w:cs="仿宋_GB2312" w:eastAsia="仿宋_GB2312"/>
                <w:sz w:val="18"/>
              </w:rPr>
              <w:t>和发布以及制定发布、修订的程序符合性</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2.</w:t>
            </w:r>
            <w:r>
              <w:rPr>
                <w:rFonts w:ascii="仿宋_GB2312" w:hAnsi="仿宋_GB2312" w:cs="仿宋_GB2312" w:eastAsia="仿宋_GB2312"/>
                <w:sz w:val="18"/>
              </w:rPr>
              <w:t>安全管理机构</w:t>
            </w:r>
          </w:p>
          <w:p>
            <w:pPr>
              <w:pStyle w:val="null3"/>
              <w:ind w:firstLine="400"/>
              <w:jc w:val="both"/>
            </w:pPr>
            <w:r>
              <w:rPr>
                <w:rFonts w:ascii="仿宋_GB2312" w:hAnsi="仿宋_GB2312" w:cs="仿宋_GB2312" w:eastAsia="仿宋_GB2312"/>
                <w:sz w:val="18"/>
              </w:rPr>
              <w:t>通过访谈、文档查阅</w:t>
            </w:r>
            <w:r>
              <w:rPr>
                <w:rFonts w:ascii="仿宋_GB2312" w:hAnsi="仿宋_GB2312" w:cs="仿宋_GB2312" w:eastAsia="仿宋_GB2312"/>
                <w:sz w:val="18"/>
              </w:rPr>
              <w:t>的方式，核查中心安全管理机构的职能部门、人员配备是否满足要求；核查系统变更、重要操作、系统接入等重要事项的授权审批机制；核查沟通和合作、审核和检查等方面存在的问题，提出整改措施建议。</w:t>
            </w:r>
          </w:p>
          <w:p>
            <w:pPr>
              <w:pStyle w:val="null3"/>
              <w:ind w:firstLine="400"/>
              <w:jc w:val="both"/>
            </w:pPr>
            <w:r>
              <w:rPr>
                <w:rFonts w:ascii="仿宋_GB2312" w:hAnsi="仿宋_GB2312" w:cs="仿宋_GB2312" w:eastAsia="仿宋_GB2312"/>
                <w:sz w:val="18"/>
              </w:rPr>
              <w:t>3.</w:t>
            </w:r>
            <w:r>
              <w:rPr>
                <w:rFonts w:ascii="仿宋_GB2312" w:hAnsi="仿宋_GB2312" w:cs="仿宋_GB2312" w:eastAsia="仿宋_GB2312"/>
                <w:sz w:val="18"/>
              </w:rPr>
              <w:t>安全管理人员</w:t>
            </w:r>
          </w:p>
          <w:p>
            <w:pPr>
              <w:pStyle w:val="null3"/>
              <w:ind w:firstLine="400"/>
              <w:jc w:val="both"/>
            </w:pPr>
            <w:r>
              <w:rPr>
                <w:rFonts w:ascii="仿宋_GB2312" w:hAnsi="仿宋_GB2312" w:cs="仿宋_GB2312" w:eastAsia="仿宋_GB2312"/>
                <w:sz w:val="18"/>
              </w:rPr>
              <w:t>对系统关键岗位人员背景审查资料、人员录用、离职离岗管理措施进行核查；通过</w:t>
            </w:r>
            <w:r>
              <w:rPr>
                <w:rFonts w:ascii="仿宋_GB2312" w:hAnsi="仿宋_GB2312" w:cs="仿宋_GB2312" w:eastAsia="仿宋_GB2312"/>
                <w:sz w:val="18"/>
              </w:rPr>
              <w:t>访谈、文档查阅</w:t>
            </w:r>
            <w:r>
              <w:rPr>
                <w:rFonts w:ascii="仿宋_GB2312" w:hAnsi="仿宋_GB2312" w:cs="仿宋_GB2312" w:eastAsia="仿宋_GB2312"/>
                <w:sz w:val="18"/>
              </w:rPr>
              <w:t>的方式，核查安全管理人员意识教育和培训有关资料；通过工具测试、人工分析等方式，检测外部人员访问管理措施有效性，提出安全整改措施建议。</w:t>
            </w:r>
          </w:p>
          <w:p>
            <w:pPr>
              <w:pStyle w:val="null3"/>
              <w:ind w:firstLine="400"/>
              <w:jc w:val="both"/>
            </w:pPr>
            <w:r>
              <w:rPr>
                <w:rFonts w:ascii="仿宋_GB2312" w:hAnsi="仿宋_GB2312" w:cs="仿宋_GB2312" w:eastAsia="仿宋_GB2312"/>
                <w:sz w:val="18"/>
              </w:rPr>
              <w:t>4.</w:t>
            </w:r>
            <w:r>
              <w:rPr>
                <w:rFonts w:ascii="仿宋_GB2312" w:hAnsi="仿宋_GB2312" w:cs="仿宋_GB2312" w:eastAsia="仿宋_GB2312"/>
                <w:sz w:val="18"/>
              </w:rPr>
              <w:t>安全建设管理</w:t>
            </w:r>
          </w:p>
          <w:p>
            <w:pPr>
              <w:pStyle w:val="null3"/>
              <w:ind w:firstLine="400"/>
              <w:jc w:val="both"/>
            </w:pPr>
            <w:r>
              <w:rPr>
                <w:rFonts w:ascii="仿宋_GB2312" w:hAnsi="仿宋_GB2312" w:cs="仿宋_GB2312" w:eastAsia="仿宋_GB2312"/>
                <w:sz w:val="18"/>
              </w:rPr>
              <w:t>核查系统定级备案、安全建设方案、产品采购和使用清单、</w:t>
            </w:r>
            <w:r>
              <w:rPr>
                <w:rFonts w:ascii="仿宋_GB2312" w:hAnsi="仿宋_GB2312" w:cs="仿宋_GB2312" w:eastAsia="仿宋_GB2312"/>
                <w:sz w:val="18"/>
              </w:rPr>
              <w:t>软件开发、</w:t>
            </w:r>
            <w:r>
              <w:rPr>
                <w:rFonts w:ascii="仿宋_GB2312" w:hAnsi="仿宋_GB2312" w:cs="仿宋_GB2312" w:eastAsia="仿宋_GB2312"/>
                <w:sz w:val="18"/>
              </w:rPr>
              <w:t>项目</w:t>
            </w:r>
            <w:r>
              <w:rPr>
                <w:rFonts w:ascii="仿宋_GB2312" w:hAnsi="仿宋_GB2312" w:cs="仿宋_GB2312" w:eastAsia="仿宋_GB2312"/>
                <w:sz w:val="18"/>
              </w:rPr>
              <w:t>实施、系统交付</w:t>
            </w:r>
            <w:r>
              <w:rPr>
                <w:rFonts w:ascii="仿宋_GB2312" w:hAnsi="仿宋_GB2312" w:cs="仿宋_GB2312" w:eastAsia="仿宋_GB2312"/>
                <w:sz w:val="18"/>
              </w:rPr>
              <w:t>、项目验收等相关资料；通过工具测试、漏洞扫描等方式，发现系统存在的软件应用、中间件、数据库等方面安全漏洞，提出安全整改措施建议。</w:t>
            </w:r>
          </w:p>
          <w:p>
            <w:pPr>
              <w:pStyle w:val="null3"/>
              <w:ind w:firstLine="400"/>
              <w:jc w:val="both"/>
            </w:pPr>
            <w:r>
              <w:rPr>
                <w:rFonts w:ascii="仿宋_GB2312" w:hAnsi="仿宋_GB2312" w:cs="仿宋_GB2312" w:eastAsia="仿宋_GB2312"/>
                <w:sz w:val="18"/>
              </w:rPr>
              <w:t>5.</w:t>
            </w:r>
            <w:r>
              <w:rPr>
                <w:rFonts w:ascii="仿宋_GB2312" w:hAnsi="仿宋_GB2312" w:cs="仿宋_GB2312" w:eastAsia="仿宋_GB2312"/>
                <w:sz w:val="18"/>
              </w:rPr>
              <w:t>安全运维管理</w:t>
            </w:r>
          </w:p>
          <w:p>
            <w:pPr>
              <w:pStyle w:val="null3"/>
              <w:ind w:firstLine="400"/>
              <w:jc w:val="both"/>
            </w:pPr>
            <w:r>
              <w:rPr>
                <w:rFonts w:ascii="仿宋_GB2312" w:hAnsi="仿宋_GB2312" w:cs="仿宋_GB2312" w:eastAsia="仿宋_GB2312"/>
                <w:sz w:val="18"/>
              </w:rPr>
              <w:t>通过访谈、文档查阅</w:t>
            </w:r>
            <w:r>
              <w:rPr>
                <w:rFonts w:ascii="仿宋_GB2312" w:hAnsi="仿宋_GB2312" w:cs="仿宋_GB2312" w:eastAsia="仿宋_GB2312"/>
                <w:sz w:val="18"/>
              </w:rPr>
              <w:t>的方式，核查系统资产清单、介质管理记录、设备运维记录、重要事项变更、漏洞隐患处置跟踪表单等管理措施过程记录；通过配置核查、工具测试等方式，发现</w:t>
            </w:r>
            <w:r>
              <w:rPr>
                <w:rFonts w:ascii="仿宋_GB2312" w:hAnsi="仿宋_GB2312" w:cs="仿宋_GB2312" w:eastAsia="仿宋_GB2312"/>
                <w:sz w:val="18"/>
              </w:rPr>
              <w:t>配置管理、密码管理、备份与恢复管理</w:t>
            </w:r>
            <w:r>
              <w:rPr>
                <w:rFonts w:ascii="仿宋_GB2312" w:hAnsi="仿宋_GB2312" w:cs="仿宋_GB2312" w:eastAsia="仿宋_GB2312"/>
                <w:sz w:val="18"/>
              </w:rPr>
              <w:t>、</w:t>
            </w:r>
            <w:r>
              <w:rPr>
                <w:rFonts w:ascii="仿宋_GB2312" w:hAnsi="仿宋_GB2312" w:cs="仿宋_GB2312" w:eastAsia="仿宋_GB2312"/>
                <w:sz w:val="18"/>
              </w:rPr>
              <w:t>漏洞和风险管理</w:t>
            </w:r>
            <w:r>
              <w:rPr>
                <w:rFonts w:ascii="仿宋_GB2312" w:hAnsi="仿宋_GB2312" w:cs="仿宋_GB2312" w:eastAsia="仿宋_GB2312"/>
                <w:sz w:val="18"/>
              </w:rPr>
              <w:t>等方面存在的安全漏洞，提出完善措施建议。</w:t>
            </w:r>
          </w:p>
          <w:p>
            <w:pPr>
              <w:pStyle w:val="null3"/>
              <w:ind w:firstLine="400"/>
              <w:jc w:val="both"/>
            </w:pPr>
            <w:r>
              <w:rPr>
                <w:rFonts w:ascii="仿宋_GB2312" w:hAnsi="仿宋_GB2312" w:cs="仿宋_GB2312" w:eastAsia="仿宋_GB2312"/>
                <w:sz w:val="18"/>
              </w:rPr>
              <w:t>6.</w:t>
            </w:r>
            <w:r>
              <w:rPr>
                <w:rFonts w:ascii="仿宋_GB2312" w:hAnsi="仿宋_GB2312" w:cs="仿宋_GB2312" w:eastAsia="仿宋_GB2312"/>
                <w:sz w:val="18"/>
              </w:rPr>
              <w:t>安全物理环境</w:t>
            </w:r>
          </w:p>
          <w:p>
            <w:pPr>
              <w:pStyle w:val="null3"/>
              <w:ind w:firstLine="400"/>
              <w:jc w:val="both"/>
            </w:pPr>
            <w:r>
              <w:rPr>
                <w:rFonts w:ascii="仿宋_GB2312" w:hAnsi="仿宋_GB2312" w:cs="仿宋_GB2312" w:eastAsia="仿宋_GB2312"/>
                <w:sz w:val="18"/>
              </w:rPr>
              <w:t>对系统机房安全管理措施进行核查，查阅机房人员出入、设备出入登记记录，</w:t>
            </w:r>
            <w:r>
              <w:rPr>
                <w:rFonts w:ascii="仿宋_GB2312" w:hAnsi="仿宋_GB2312" w:cs="仿宋_GB2312" w:eastAsia="仿宋_GB2312"/>
                <w:sz w:val="18"/>
              </w:rPr>
              <w:t>实地勘看</w:t>
            </w:r>
            <w:r>
              <w:rPr>
                <w:rFonts w:ascii="仿宋_GB2312" w:hAnsi="仿宋_GB2312" w:cs="仿宋_GB2312" w:eastAsia="仿宋_GB2312"/>
                <w:sz w:val="18"/>
              </w:rPr>
              <w:t>门禁系统、</w:t>
            </w:r>
            <w:r>
              <w:rPr>
                <w:rFonts w:ascii="仿宋_GB2312" w:hAnsi="仿宋_GB2312" w:cs="仿宋_GB2312" w:eastAsia="仿宋_GB2312"/>
                <w:sz w:val="18"/>
              </w:rPr>
              <w:t>防盗防破坏、防雷、防火、防水防潮、防静电、电力供应等</w:t>
            </w:r>
            <w:r>
              <w:rPr>
                <w:rFonts w:ascii="仿宋_GB2312" w:hAnsi="仿宋_GB2312" w:cs="仿宋_GB2312" w:eastAsia="仿宋_GB2312"/>
                <w:sz w:val="18"/>
              </w:rPr>
              <w:t>物理环境，提出安全物理环境保障措施整改建议。</w:t>
            </w:r>
          </w:p>
          <w:p>
            <w:pPr>
              <w:pStyle w:val="null3"/>
              <w:ind w:firstLine="400"/>
              <w:jc w:val="both"/>
            </w:pPr>
            <w:r>
              <w:rPr>
                <w:rFonts w:ascii="仿宋_GB2312" w:hAnsi="仿宋_GB2312" w:cs="仿宋_GB2312" w:eastAsia="仿宋_GB2312"/>
                <w:sz w:val="18"/>
              </w:rPr>
              <w:t>7.</w:t>
            </w:r>
            <w:r>
              <w:rPr>
                <w:rFonts w:ascii="仿宋_GB2312" w:hAnsi="仿宋_GB2312" w:cs="仿宋_GB2312" w:eastAsia="仿宋_GB2312"/>
                <w:sz w:val="18"/>
              </w:rPr>
              <w:t>安全通信网络</w:t>
            </w:r>
          </w:p>
          <w:p>
            <w:pPr>
              <w:pStyle w:val="null3"/>
              <w:ind w:firstLine="400"/>
              <w:jc w:val="both"/>
            </w:pPr>
            <w:r>
              <w:rPr>
                <w:rFonts w:ascii="仿宋_GB2312" w:hAnsi="仿宋_GB2312" w:cs="仿宋_GB2312" w:eastAsia="仿宋_GB2312"/>
                <w:sz w:val="18"/>
              </w:rPr>
              <w:t>根据业务应用重要程度，查阅系统网络拓扑图，实地</w:t>
            </w:r>
            <w:r>
              <w:rPr>
                <w:rFonts w:ascii="仿宋_GB2312" w:hAnsi="仿宋_GB2312" w:cs="仿宋_GB2312" w:eastAsia="仿宋_GB2312"/>
                <w:sz w:val="18"/>
              </w:rPr>
              <w:t>勘看</w:t>
            </w:r>
            <w:r>
              <w:rPr>
                <w:rFonts w:ascii="仿宋_GB2312" w:hAnsi="仿宋_GB2312" w:cs="仿宋_GB2312" w:eastAsia="仿宋_GB2312"/>
                <w:sz w:val="18"/>
              </w:rPr>
              <w:t>网络架构，分析现有网络架构、分区分域的合理性，核查网络分区分域管理措施是否有效落实，提出优化措施建议；核查系统数据通信传输现有保障措施，验证是否满足可信验证；核查通信网络设备隔离措施有效性和合理性，发现存在安全隐患的隔离措施，提出安全整改建议。</w:t>
            </w:r>
          </w:p>
          <w:p>
            <w:pPr>
              <w:pStyle w:val="null3"/>
              <w:ind w:firstLine="400"/>
              <w:jc w:val="both"/>
            </w:pPr>
            <w:r>
              <w:rPr>
                <w:rFonts w:ascii="仿宋_GB2312" w:hAnsi="仿宋_GB2312" w:cs="仿宋_GB2312" w:eastAsia="仿宋_GB2312"/>
                <w:sz w:val="18"/>
              </w:rPr>
              <w:t>8.</w:t>
            </w:r>
            <w:r>
              <w:rPr>
                <w:rFonts w:ascii="仿宋_GB2312" w:hAnsi="仿宋_GB2312" w:cs="仿宋_GB2312" w:eastAsia="仿宋_GB2312"/>
                <w:sz w:val="18"/>
              </w:rPr>
              <w:t>安全区域边界</w:t>
            </w:r>
          </w:p>
          <w:p>
            <w:pPr>
              <w:pStyle w:val="null3"/>
              <w:ind w:firstLine="400"/>
              <w:jc w:val="both"/>
            </w:pPr>
            <w:r>
              <w:rPr>
                <w:rFonts w:ascii="仿宋_GB2312" w:hAnsi="仿宋_GB2312" w:cs="仿宋_GB2312" w:eastAsia="仿宋_GB2312"/>
                <w:sz w:val="18"/>
              </w:rPr>
              <w:t>根据系统业务实际情况和网络接入关系，通过配置核查、人工分析的方式，核查边界访问控制、高危端口、共享端口、准入控制、流量监测等安全策略设置的合理性，发现系统网络边界、区域边界的不合理策略，检测出系统存在的高危隐患，提出完善优化的可行性整改措施</w:t>
            </w:r>
            <w:r>
              <w:rPr>
                <w:rFonts w:ascii="仿宋_GB2312" w:hAnsi="仿宋_GB2312" w:cs="仿宋_GB2312" w:eastAsia="仿宋_GB2312"/>
                <w:sz w:val="18"/>
              </w:rPr>
              <w:t>。</w:t>
            </w:r>
          </w:p>
          <w:p>
            <w:pPr>
              <w:pStyle w:val="null3"/>
              <w:ind w:firstLine="400"/>
              <w:jc w:val="both"/>
            </w:pPr>
            <w:r>
              <w:rPr>
                <w:rFonts w:ascii="仿宋_GB2312" w:hAnsi="仿宋_GB2312" w:cs="仿宋_GB2312" w:eastAsia="仿宋_GB2312"/>
                <w:sz w:val="18"/>
              </w:rPr>
              <w:t>9.</w:t>
            </w:r>
            <w:r>
              <w:rPr>
                <w:rFonts w:ascii="仿宋_GB2312" w:hAnsi="仿宋_GB2312" w:cs="仿宋_GB2312" w:eastAsia="仿宋_GB2312"/>
                <w:sz w:val="18"/>
              </w:rPr>
              <w:t>安全计算环境</w:t>
            </w:r>
          </w:p>
          <w:p>
            <w:pPr>
              <w:pStyle w:val="null3"/>
              <w:ind w:firstLine="400"/>
              <w:jc w:val="both"/>
            </w:pPr>
            <w:r>
              <w:rPr>
                <w:rFonts w:ascii="仿宋_GB2312" w:hAnsi="仿宋_GB2312" w:cs="仿宋_GB2312" w:eastAsia="仿宋_GB2312"/>
                <w:sz w:val="18"/>
              </w:rPr>
              <w:t>对网络设备、安全设备、服务器、终端、应用系统等资产的用户权限、账户口令、登录失败、连接超时、入侵防范等安全策略进行核查，发现不合理安全配置策略；对系统资产进行漏洞扫描，发现系统安全漏洞，并在测试评估后，提出整改措施建议；核查系统设备是否均保留了日志审计记录，且留存记录是否满足要求。</w:t>
            </w:r>
          </w:p>
          <w:p>
            <w:pPr>
              <w:pStyle w:val="null3"/>
              <w:ind w:firstLine="400"/>
              <w:jc w:val="both"/>
            </w:pPr>
            <w:r>
              <w:rPr>
                <w:rFonts w:ascii="仿宋_GB2312" w:hAnsi="仿宋_GB2312" w:cs="仿宋_GB2312" w:eastAsia="仿宋_GB2312"/>
                <w:sz w:val="18"/>
              </w:rPr>
              <w:t>10.</w:t>
            </w:r>
            <w:r>
              <w:rPr>
                <w:rFonts w:ascii="仿宋_GB2312" w:hAnsi="仿宋_GB2312" w:cs="仿宋_GB2312" w:eastAsia="仿宋_GB2312"/>
                <w:sz w:val="18"/>
              </w:rPr>
              <w:t>安全管理中心</w:t>
            </w:r>
          </w:p>
          <w:p>
            <w:pPr>
              <w:pStyle w:val="null3"/>
              <w:ind w:firstLine="400"/>
              <w:jc w:val="both"/>
            </w:pPr>
            <w:r>
              <w:rPr>
                <w:rFonts w:ascii="仿宋_GB2312" w:hAnsi="仿宋_GB2312" w:cs="仿宋_GB2312" w:eastAsia="仿宋_GB2312"/>
                <w:sz w:val="18"/>
              </w:rPr>
              <w:t>通过访谈交流、文档查阅、配置核查的方式，对系统管理员、审计管理员、安全管理员的权限分配进行检查，发现不合理资源权限划分；核查安全管理产品及产品配置的安全策略有效性，评估运维操作行为的规范性，分析系统集中管控措施，对系统监测手段提出针对性意见建议。</w:t>
            </w:r>
          </w:p>
          <w:p>
            <w:pPr>
              <w:pStyle w:val="null3"/>
              <w:ind w:firstLine="400"/>
              <w:jc w:val="both"/>
            </w:pPr>
            <w:r>
              <w:rPr>
                <w:rFonts w:ascii="仿宋_GB2312" w:hAnsi="仿宋_GB2312" w:cs="仿宋_GB2312" w:eastAsia="仿宋_GB2312"/>
                <w:sz w:val="18"/>
              </w:rPr>
              <w:t>（二）</w:t>
            </w:r>
            <w:r>
              <w:rPr>
                <w:rFonts w:ascii="仿宋_GB2312" w:hAnsi="仿宋_GB2312" w:cs="仿宋_GB2312" w:eastAsia="仿宋_GB2312"/>
                <w:sz w:val="18"/>
              </w:rPr>
              <w:t>服务交付成果</w:t>
            </w:r>
          </w:p>
          <w:p>
            <w:pPr>
              <w:pStyle w:val="null3"/>
              <w:ind w:firstLine="400"/>
              <w:jc w:val="both"/>
            </w:pPr>
            <w:r>
              <w:rPr>
                <w:rFonts w:ascii="仿宋_GB2312" w:hAnsi="仿宋_GB2312" w:cs="仿宋_GB2312" w:eastAsia="仿宋_GB2312"/>
                <w:sz w:val="18"/>
              </w:rPr>
              <w:t>包含但不限于以下内容：</w:t>
            </w:r>
          </w:p>
          <w:p>
            <w:pPr>
              <w:pStyle w:val="null3"/>
              <w:ind w:firstLine="400"/>
              <w:jc w:val="both"/>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**系统测评方案》</w:t>
            </w:r>
          </w:p>
          <w:p>
            <w:pPr>
              <w:pStyle w:val="null3"/>
              <w:ind w:firstLine="400"/>
              <w:jc w:val="both"/>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**系统等级保护差距分析报告》</w:t>
            </w:r>
          </w:p>
          <w:p>
            <w:pPr>
              <w:pStyle w:val="null3"/>
              <w:ind w:firstLine="400"/>
              <w:jc w:val="both"/>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**系统网络安全整改方案》</w:t>
            </w:r>
          </w:p>
          <w:p>
            <w:pPr>
              <w:pStyle w:val="null3"/>
              <w:ind w:firstLine="400"/>
              <w:jc w:val="both"/>
            </w:pP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**系统等级保护测评初测报告》</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**系统等级保护测评复测报告》</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人员要求：</w:t>
            </w:r>
            <w:r>
              <w:br/>
            </w:r>
            <w:r>
              <w:rPr>
                <w:rFonts w:ascii="仿宋_GB2312" w:hAnsi="仿宋_GB2312" w:cs="仿宋_GB2312" w:eastAsia="仿宋_GB2312"/>
              </w:rPr>
              <w:t xml:space="preserve"> 为确保安全等级保护测评工作的顺利开展，供应商应对服务人员素质整体把关，原则上应满足以下条件：</w:t>
            </w:r>
          </w:p>
          <w:p>
            <w:pPr>
              <w:pStyle w:val="null3"/>
            </w:pPr>
            <w:r>
              <w:rPr>
                <w:rFonts w:ascii="仿宋_GB2312" w:hAnsi="仿宋_GB2312" w:cs="仿宋_GB2312" w:eastAsia="仿宋_GB2312"/>
              </w:rPr>
              <w:t>1.</w:t>
            </w:r>
            <w:r>
              <w:rPr>
                <w:rFonts w:ascii="仿宋_GB2312" w:hAnsi="仿宋_GB2312" w:cs="仿宋_GB2312" w:eastAsia="仿宋_GB2312"/>
              </w:rPr>
              <w:t>指定一名项目经理，负责项目的整体统筹管理、资源协调、服务质量总体把关，同时应具有预见和应对项目风险的能力。</w:t>
            </w:r>
          </w:p>
          <w:p>
            <w:pPr>
              <w:pStyle w:val="null3"/>
            </w:pPr>
            <w:r>
              <w:rPr>
                <w:rFonts w:ascii="仿宋_GB2312" w:hAnsi="仿宋_GB2312" w:cs="仿宋_GB2312" w:eastAsia="仿宋_GB2312"/>
              </w:rPr>
              <w:t>2.</w:t>
            </w:r>
            <w:r>
              <w:rPr>
                <w:rFonts w:ascii="仿宋_GB2312" w:hAnsi="仿宋_GB2312" w:cs="仿宋_GB2312" w:eastAsia="仿宋_GB2312"/>
              </w:rPr>
              <w:t>项目组成员（不包括项目经理）至少三人以上。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为保证项目的连续性，在项目服务周期内不得随意更换服务人员。</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18"/>
              </w:rPr>
              <w:t>其他要求：</w:t>
            </w:r>
            <w:r>
              <w:br/>
            </w:r>
            <w:r>
              <w:rPr>
                <w:rFonts w:ascii="仿宋_GB2312" w:hAnsi="仿宋_GB2312" w:cs="仿宋_GB2312" w:eastAsia="仿宋_GB2312"/>
                <w:sz w:val="18"/>
              </w:rPr>
              <w:t xml:space="preserve"> 1.</w:t>
            </w:r>
            <w:r>
              <w:rPr>
                <w:rFonts w:ascii="仿宋_GB2312" w:hAnsi="仿宋_GB2312" w:cs="仿宋_GB2312" w:eastAsia="仿宋_GB2312"/>
                <w:sz w:val="18"/>
              </w:rPr>
              <w:t>总体要求</w:t>
            </w:r>
          </w:p>
          <w:p>
            <w:pPr>
              <w:pStyle w:val="null3"/>
            </w:pPr>
            <w:r>
              <w:rPr>
                <w:rFonts w:ascii="仿宋_GB2312" w:hAnsi="仿宋_GB2312" w:cs="仿宋_GB2312" w:eastAsia="仿宋_GB2312"/>
                <w:sz w:val="18"/>
              </w:rPr>
              <w:t>供应商应在统一组织协调下，开展好前期调研、现场实施和报告撰写等工作，所提供的项目经理和实施人员应是具有丰富经验和专业技能的技术骨干，应有同类项目经验。在以往参与的项目中，应具有项目实施、熟悉项目需求和团队建设方面的优势，应在项目全过程中严格遵循各项网络安全管理制度要求，确保项目顺利开展。</w:t>
            </w:r>
          </w:p>
          <w:p>
            <w:pPr>
              <w:pStyle w:val="null3"/>
            </w:pPr>
            <w:r>
              <w:rPr>
                <w:rFonts w:ascii="仿宋_GB2312" w:hAnsi="仿宋_GB2312" w:cs="仿宋_GB2312" w:eastAsia="仿宋_GB2312"/>
                <w:sz w:val="18"/>
              </w:rPr>
              <w:t>2.</w:t>
            </w:r>
            <w:r>
              <w:rPr>
                <w:rFonts w:ascii="仿宋_GB2312" w:hAnsi="仿宋_GB2312" w:cs="仿宋_GB2312" w:eastAsia="仿宋_GB2312"/>
                <w:sz w:val="18"/>
              </w:rPr>
              <w:t>项目风险控制</w:t>
            </w:r>
          </w:p>
          <w:p>
            <w:pPr>
              <w:pStyle w:val="null3"/>
            </w:pPr>
            <w:r>
              <w:rPr>
                <w:rFonts w:ascii="仿宋_GB2312" w:hAnsi="仿宋_GB2312" w:cs="仿宋_GB2312" w:eastAsia="仿宋_GB2312"/>
                <w:sz w:val="18"/>
              </w:rPr>
              <w:t>供应商应能够对信息安全等级保护测评项目过程进行充分的风险考虑，在项目实施过程中，应做好计划与安排，不得影响系统正常业务工作开展。</w:t>
            </w:r>
          </w:p>
          <w:p>
            <w:pPr>
              <w:pStyle w:val="null3"/>
            </w:pPr>
            <w:r>
              <w:rPr>
                <w:rFonts w:ascii="仿宋_GB2312" w:hAnsi="仿宋_GB2312" w:cs="仿宋_GB2312" w:eastAsia="仿宋_GB2312"/>
                <w:sz w:val="18"/>
              </w:rPr>
              <w:t>3..</w:t>
            </w:r>
            <w:r>
              <w:rPr>
                <w:rFonts w:ascii="仿宋_GB2312" w:hAnsi="仿宋_GB2312" w:cs="仿宋_GB2312" w:eastAsia="仿宋_GB2312"/>
                <w:sz w:val="18"/>
              </w:rPr>
              <w:t>网络安全要求</w:t>
            </w:r>
          </w:p>
          <w:p>
            <w:pPr>
              <w:pStyle w:val="null3"/>
            </w:pPr>
            <w:r>
              <w:rPr>
                <w:rFonts w:ascii="仿宋_GB2312" w:hAnsi="仿宋_GB2312" w:cs="仿宋_GB2312" w:eastAsia="仿宋_GB2312"/>
                <w:sz w:val="18"/>
              </w:rPr>
              <w:t>供应商具备健全的网络安全服务体系，具有网络安全隐患排查、完善加固、预警监测、应对攻击等服务能力，配备具有相关技术能力的网络安全专</w:t>
            </w:r>
            <w:r>
              <w:rPr>
                <w:rFonts w:ascii="仿宋_GB2312" w:hAnsi="仿宋_GB2312" w:cs="仿宋_GB2312" w:eastAsia="仿宋_GB2312"/>
                <w:sz w:val="18"/>
              </w:rPr>
              <w:t>项</w:t>
            </w:r>
            <w:r>
              <w:rPr>
                <w:rFonts w:ascii="仿宋_GB2312" w:hAnsi="仿宋_GB2312" w:cs="仿宋_GB2312" w:eastAsia="仿宋_GB2312"/>
                <w:sz w:val="18"/>
              </w:rPr>
              <w:t>人员，为本项目提供漏洞检测、策略配置、加固整改、安全监测、应急处置等保障措施，确保系统安全稳定运行。供应商未发生过重大网络安全事件，按照要求签署网络安全责任协议。</w:t>
            </w:r>
          </w:p>
          <w:p>
            <w:pPr>
              <w:pStyle w:val="null3"/>
            </w:pPr>
            <w:r>
              <w:rPr>
                <w:rFonts w:ascii="仿宋_GB2312" w:hAnsi="仿宋_GB2312" w:cs="仿宋_GB2312" w:eastAsia="仿宋_GB2312"/>
                <w:sz w:val="18"/>
              </w:rPr>
              <w:t>4.</w:t>
            </w:r>
            <w:r>
              <w:rPr>
                <w:rFonts w:ascii="仿宋_GB2312" w:hAnsi="仿宋_GB2312" w:cs="仿宋_GB2312" w:eastAsia="仿宋_GB2312"/>
                <w:sz w:val="18"/>
              </w:rPr>
              <w:t>保密要求</w:t>
            </w:r>
          </w:p>
          <w:p>
            <w:pPr>
              <w:pStyle w:val="null3"/>
            </w:pPr>
            <w:r>
              <w:rPr>
                <w:rFonts w:ascii="仿宋_GB2312" w:hAnsi="仿宋_GB2312" w:cs="仿宋_GB2312" w:eastAsia="仿宋_GB2312"/>
                <w:sz w:val="18"/>
              </w:rPr>
              <w:t>项目实施过程中所收集、产生的所有与本项目相关文档、资料，包括文字、图片、表格、数字等各种形式所属权均归属陕西省高速公路收费中心，供应商必须对所涉及到的内容保密，按照要求签署保密协议。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自合同签订之日起100个自然日内完成系统等级保护测评工作后，30个自然日内提交项目所有交付成果。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乙方所提供服务应遵循中华人民共和国及地方的有关法律规范，达到采购人使用要求，由采购人组织验收。验收依据：（1）竞争性磋商文件、(2)磋商响应文件、(3)合同文本、(4)国家有关的验收标准及规范。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合同签订并提供有效发票后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完成项目实施内容并提交所有交付成果，采购人组织验收合格后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本合同在履行过程中发生争议的，由甲、乙双方协商解决，协商不成的，双方同意提交甲方所在地人民法院裁决。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 品制度的通知》(国办发(2007)51号); ②《财政 部 司法部关于政府采购支持监狱企业发展有关 问题的通知》(财库(2014)68号); ③《三部门联 合发布关于促进残疾人就业政府采购政策的通 知》(财库(2017)141号); ④《财政部 发展改革 委 生态环境部 市场监管总局关于调整优化节能 产品、环境标志产品政府采购执行机制的通知 》(财库(2019)9号); ⑤《关于运用政府采购政 策支持乡村产业振兴的通知》(财库(2021)19号 ); ⑥《政府采购促进中小企业发展管理办法》( 财库(2020)46号); ⑦陕西省财政厅关于印发《 陕西省中小企业政府采购信用融资办法》(陕财 办采(2018)23号); ⑧《关于进一步加大政府采 购支持中小企业力度的通知》(财库(2022)19号 ); ⑨《关于扩大政府采购支持绿色建材促进建筑 品质提升政策实施范围的通知》(财库(2022)35 号)⑩本项目专门面向中小企业采购</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提供中小企业声明函。（本项目属于专门面向中小企业采购项目）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 服务技术指标偏差表.docx 供应商承诺书.docx 商务响应表.docx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 服务技术指标偏差表.docx 供应商承诺书.docx 商务响应表.docx 供应商身份证明.docx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服务技术指标偏差表.docx 响应文件封面 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磋商内容未出现漏项；数量与要求相符；</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响应文件封面 服务技术指标偏差表.docx 商务响应表.docx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供应商需要加以说明的其他内容.docx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等级保护测评服务方案</w:t>
            </w:r>
          </w:p>
        </w:tc>
        <w:tc>
          <w:tcPr>
            <w:tcW w:type="dxa" w:w="2492"/>
          </w:tcPr>
          <w:p>
            <w:pPr>
              <w:pStyle w:val="null3"/>
            </w:pPr>
            <w:r>
              <w:rPr>
                <w:rFonts w:ascii="仿宋_GB2312" w:hAnsi="仿宋_GB2312" w:cs="仿宋_GB2312" w:eastAsia="仿宋_GB2312"/>
              </w:rPr>
              <w:t>针对等级保护测评有完整的服务方案，提供完整的项目工作流程和服务方案，对信息系统等级保护测评各个工作阶段的工作内容、工作方法具有详细说明，并严格遵循相关流程要求。 测评实施方案应至少包含①项目需求分析、②技术服务方案、③工作内容、④工作方法等。并应根据本项目实际需求情况，对本项目进行全面、准确、细致的需求分析，并针对服务内容进行综合描述，针对技术服务部分应依据国家等级保护2.0测评标准体系要求，并结合甲方要求，评审专家依据方案内容完整，应包括（基线测评、漏洞扫描、渗透测试部分，且方案描述详细，测评指标选取合理，测评内容及方法明确，服务条理清晰，满足技术规范书要求；项目实施进度计划合理、项目执行过程管控到位及处置措施完善、合理、指导性强）。评审专家依据（1、完整性：方案必须全面，对评审内容中的各项要求有详细描述；2、可实施性：切合实际情况，提出步骤清晰、合理的方案；3、针对性：方案能够紧扣实际情况，内容科学合理。）进行评审，以上4项内容根据评审依据每项计5分，不满足不计分，满分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磋商响应方案-等级保护测评服务方案.docx</w:t>
            </w:r>
          </w:p>
        </w:tc>
      </w:tr>
      <w:tr>
        <w:tc>
          <w:tcPr>
            <w:tcW w:type="dxa" w:w="831"/>
            <w:vMerge/>
          </w:tcPr>
          <w:p/>
        </w:tc>
        <w:tc>
          <w:tcPr>
            <w:tcW w:type="dxa" w:w="1661"/>
          </w:tcPr>
          <w:p>
            <w:pPr>
              <w:pStyle w:val="null3"/>
            </w:pPr>
            <w:r>
              <w:rPr>
                <w:rFonts w:ascii="仿宋_GB2312" w:hAnsi="仿宋_GB2312" w:cs="仿宋_GB2312" w:eastAsia="仿宋_GB2312"/>
              </w:rPr>
              <w:t>项目质量管理</w:t>
            </w:r>
          </w:p>
        </w:tc>
        <w:tc>
          <w:tcPr>
            <w:tcW w:type="dxa" w:w="2492"/>
          </w:tcPr>
          <w:p>
            <w:pPr>
              <w:pStyle w:val="null3"/>
            </w:pPr>
            <w:r>
              <w:rPr>
                <w:rFonts w:ascii="仿宋_GB2312" w:hAnsi="仿宋_GB2312" w:cs="仿宋_GB2312" w:eastAsia="仿宋_GB2312"/>
              </w:rPr>
              <w:t>有严格的①项目质量管理、②过程控制、③监控手段，能保证技术人员按照相应的操作指导规范实施测评；明确每项工作的④时间安排和操作时间⑤操作人员。评审专家依据（1、完整性：方案必须全面，对评审内容中的各项要求有详细描述；2、可实施性：切合实际情况，提出步骤清晰、合理的方案；3、针对性：方案能够紧扣实际情况，内容科学合理。）进行评审，以上5项内容根据评审依据每项计2分，不满足不计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磋商响应方案-项目质量管理.docx</w:t>
            </w:r>
          </w:p>
        </w:tc>
      </w:tr>
      <w:tr>
        <w:tc>
          <w:tcPr>
            <w:tcW w:type="dxa" w:w="831"/>
            <w:vMerge/>
          </w:tcPr>
          <w:p/>
        </w:tc>
        <w:tc>
          <w:tcPr>
            <w:tcW w:type="dxa" w:w="1661"/>
          </w:tcPr>
          <w:p>
            <w:pPr>
              <w:pStyle w:val="null3"/>
            </w:pPr>
            <w:r>
              <w:rPr>
                <w:rFonts w:ascii="仿宋_GB2312" w:hAnsi="仿宋_GB2312" w:cs="仿宋_GB2312" w:eastAsia="仿宋_GB2312"/>
              </w:rPr>
              <w:t>风险防范措施</w:t>
            </w:r>
          </w:p>
        </w:tc>
        <w:tc>
          <w:tcPr>
            <w:tcW w:type="dxa" w:w="2492"/>
          </w:tcPr>
          <w:p>
            <w:pPr>
              <w:pStyle w:val="null3"/>
            </w:pPr>
            <w:r>
              <w:rPr>
                <w:rFonts w:ascii="仿宋_GB2312" w:hAnsi="仿宋_GB2312" w:cs="仿宋_GB2312" w:eastAsia="仿宋_GB2312"/>
              </w:rPr>
              <w:t>提供整个测评项目实施过程中的①风险防范措施，并明确项目②保密责任③赔偿承诺，实施过程中可能出现的突发事件、紧急故障等方面制定④风险管理⑤应急处置方案（供应商在所提供方案中应充分考虑本次项目的技术难点、风险进行分析，解决难题；要评估后期实施中可能发生的突发状况，并制定相应的风险管理和应急处置方案，确保服务工作有序推进，对技术难点、风险分析准确）进行评审。评审专家依据（1、完整性：方案必须全面，对评审内容中的各项要求有详细描述；2、可实施性：切合实际情况，提出步骤清晰、合理的方案；3、针对性：方案能够紧扣实际情况，内容科学合理。）进行评审，以上5项内容根据评审依据每项计2分，不满足不计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磋商响应方案-风险防范措施.docx</w:t>
            </w:r>
          </w:p>
        </w:tc>
      </w:tr>
      <w:tr>
        <w:tc>
          <w:tcPr>
            <w:tcW w:type="dxa" w:w="831"/>
            <w:vMerge/>
          </w:tcPr>
          <w:p/>
        </w:tc>
        <w:tc>
          <w:tcPr>
            <w:tcW w:type="dxa" w:w="1661"/>
          </w:tcPr>
          <w:p>
            <w:pPr>
              <w:pStyle w:val="null3"/>
            </w:pPr>
            <w:r>
              <w:rPr>
                <w:rFonts w:ascii="仿宋_GB2312" w:hAnsi="仿宋_GB2312" w:cs="仿宋_GB2312" w:eastAsia="仿宋_GB2312"/>
              </w:rPr>
              <w:t>安全整改方案</w:t>
            </w:r>
          </w:p>
        </w:tc>
        <w:tc>
          <w:tcPr>
            <w:tcW w:type="dxa" w:w="2492"/>
          </w:tcPr>
          <w:p>
            <w:pPr>
              <w:pStyle w:val="null3"/>
            </w:pPr>
            <w:r>
              <w:rPr>
                <w:rFonts w:ascii="仿宋_GB2312" w:hAnsi="仿宋_GB2312" w:cs="仿宋_GB2312" w:eastAsia="仿宋_GB2312"/>
              </w:rPr>
              <w:t>供应商针对本项目采购需求提供安全整改方案。方案应围绕对①物理安全及网络安全②主机安全及应用安全③数据安全及备份恢复的层面、安全命令和信息安全管理制度建设进行阐述，对发现的安全风险，提出风险防范对策并协助采购人整改。评审专家依据（1、完整性：方案必须全面，对评审内容中的各项要求有详细描述；2、可实施性：切合实际情况，提出步骤清晰、合理的方案；3、针对性：方案能够紧扣实际情况，内容科学合理。）进行评审，以上3项内容根据评审依据每项计2分，不满足不计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磋商响应方案-安全整改方案.docx</w:t>
            </w:r>
          </w:p>
        </w:tc>
      </w:tr>
      <w:tr>
        <w:tc>
          <w:tcPr>
            <w:tcW w:type="dxa" w:w="831"/>
            <w:vMerge/>
          </w:tcPr>
          <w:p/>
        </w:tc>
        <w:tc>
          <w:tcPr>
            <w:tcW w:type="dxa" w:w="1661"/>
          </w:tcPr>
          <w:p>
            <w:pPr>
              <w:pStyle w:val="null3"/>
            </w:pPr>
            <w:r>
              <w:rPr>
                <w:rFonts w:ascii="仿宋_GB2312" w:hAnsi="仿宋_GB2312" w:cs="仿宋_GB2312" w:eastAsia="仿宋_GB2312"/>
              </w:rPr>
              <w:t>技术能力</w:t>
            </w:r>
          </w:p>
        </w:tc>
        <w:tc>
          <w:tcPr>
            <w:tcW w:type="dxa" w:w="2492"/>
          </w:tcPr>
          <w:p>
            <w:pPr>
              <w:pStyle w:val="null3"/>
            </w:pPr>
            <w:r>
              <w:rPr>
                <w:rFonts w:ascii="仿宋_GB2312" w:hAnsi="仿宋_GB2312" w:cs="仿宋_GB2312" w:eastAsia="仿宋_GB2312"/>
              </w:rPr>
              <w:t>供应商提供ISO27001信息安全管理体系、ISO9001质量管理体系认证、ISO20000信息技术服务管理体系认证证书，每提供1项得2分，满分6分。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磋商响应方案-技术能力.docx</w:t>
            </w:r>
          </w:p>
        </w:tc>
      </w:tr>
      <w:tr>
        <w:tc>
          <w:tcPr>
            <w:tcW w:type="dxa" w:w="831"/>
            <w:vMerge/>
          </w:tcPr>
          <w:p/>
        </w:tc>
        <w:tc>
          <w:tcPr>
            <w:tcW w:type="dxa" w:w="1661"/>
          </w:tcPr>
          <w:p>
            <w:pPr>
              <w:pStyle w:val="null3"/>
            </w:pPr>
            <w:r>
              <w:rPr>
                <w:rFonts w:ascii="仿宋_GB2312" w:hAnsi="仿宋_GB2312" w:cs="仿宋_GB2312" w:eastAsia="仿宋_GB2312"/>
              </w:rPr>
              <w:t>技术措施建设方案</w:t>
            </w:r>
          </w:p>
        </w:tc>
        <w:tc>
          <w:tcPr>
            <w:tcW w:type="dxa" w:w="2492"/>
          </w:tcPr>
          <w:p>
            <w:pPr>
              <w:pStyle w:val="null3"/>
            </w:pPr>
            <w:r>
              <w:rPr>
                <w:rFonts w:ascii="仿宋_GB2312" w:hAnsi="仿宋_GB2312" w:cs="仿宋_GB2312" w:eastAsia="仿宋_GB2312"/>
              </w:rPr>
              <w:t>供应商提供技术措施建设方案，包括但不限于针对①未备案系统检测、②弱口令、③漏洞检查、④漏洞报警、⑤漏洞修复等的实施方案。评审专家依据（1、完整性：方案必须全面，对评审内容中的各项要求有详细描述；2、可实施性：切合实际情况，提出步骤清晰、合理的方案；3、针对性：方案能够紧扣实际情况，内容科学合理。）进行评审，以上5项内容根据评审依据每项计2分，不满足不计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磋商响应方案-技术措施建设方案.docx</w:t>
            </w:r>
          </w:p>
        </w:tc>
      </w:tr>
      <w:tr>
        <w:tc>
          <w:tcPr>
            <w:tcW w:type="dxa" w:w="831"/>
            <w:vMerge/>
          </w:tcPr>
          <w:p/>
        </w:tc>
        <w:tc>
          <w:tcPr>
            <w:tcW w:type="dxa" w:w="1661"/>
          </w:tcPr>
          <w:p>
            <w:pPr>
              <w:pStyle w:val="null3"/>
            </w:pPr>
            <w:r>
              <w:rPr>
                <w:rFonts w:ascii="仿宋_GB2312" w:hAnsi="仿宋_GB2312" w:cs="仿宋_GB2312" w:eastAsia="仿宋_GB2312"/>
              </w:rPr>
              <w:t>配合检查服务方案</w:t>
            </w:r>
          </w:p>
        </w:tc>
        <w:tc>
          <w:tcPr>
            <w:tcW w:type="dxa" w:w="2492"/>
          </w:tcPr>
          <w:p>
            <w:pPr>
              <w:pStyle w:val="null3"/>
            </w:pPr>
            <w:r>
              <w:rPr>
                <w:rFonts w:ascii="仿宋_GB2312" w:hAnsi="仿宋_GB2312" w:cs="仿宋_GB2312" w:eastAsia="仿宋_GB2312"/>
              </w:rPr>
              <w:t>供应商须根据采购人需要提供①各类配合检查服务，②协助配合信息系统安全等级保护工作的检查，包括准备、完善文档、配合答疑、技术支持等。评审专家依据（1、完整性：方案必须全面，对评审内容中的各项要求有详细描述；2、可实施性：切合实际情况，提出步骤清晰、合理的方案；3、针对性：方案能够紧扣实际情况，内容科学合理。）进行评审，以上2项内容根据评审依据每项计3分，不满足不计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磋商响应方案-配合检查服务方案.docx</w:t>
            </w:r>
          </w:p>
        </w:tc>
      </w:tr>
      <w:tr>
        <w:tc>
          <w:tcPr>
            <w:tcW w:type="dxa" w:w="831"/>
            <w:vMerge/>
          </w:tcPr>
          <w:p/>
        </w:tc>
        <w:tc>
          <w:tcPr>
            <w:tcW w:type="dxa" w:w="1661"/>
          </w:tcPr>
          <w:p>
            <w:pPr>
              <w:pStyle w:val="null3"/>
            </w:pPr>
            <w:r>
              <w:rPr>
                <w:rFonts w:ascii="仿宋_GB2312" w:hAnsi="仿宋_GB2312" w:cs="仿宋_GB2312" w:eastAsia="仿宋_GB2312"/>
              </w:rPr>
              <w:t>服务团队能力</w:t>
            </w:r>
          </w:p>
        </w:tc>
        <w:tc>
          <w:tcPr>
            <w:tcW w:type="dxa" w:w="2492"/>
          </w:tcPr>
          <w:p>
            <w:pPr>
              <w:pStyle w:val="null3"/>
            </w:pPr>
            <w:r>
              <w:rPr>
                <w:rFonts w:ascii="仿宋_GB2312" w:hAnsi="仿宋_GB2312" w:cs="仿宋_GB2312" w:eastAsia="仿宋_GB2312"/>
              </w:rPr>
              <w:t>1.项目测评成员具备注册信息安全专业人员（CISP）证书，每提供1个证书得1分，最多得3分。 2.项目经理具备高级网络安全等级测评师证书得1分，具备信息安全保障人员认证证书（CISAW）得1分，最多得2分。 3.技术主管具备渗透测试工程师证书得1分，具备信息安全保障人员认证证书（CISAW）得1分，最多得2分。注：以上人员配备须提供相关证书复印件，同时提供本单位缴纳的2024年1月至今任意一个月人员社保证明或劳务合同（劳务合同期限至少覆盖本项目服务期限）为依据。</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磋商响应方案-服务团队能力.docx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2月1日至今不少于三个类似项目业绩证明，（不满足得0分，满足得2分）此外每增加1个有效业绩证明得1分，满分5分，不提供不得分。（业绩时间以合同签订时间为准，并提供合同扫描件。提供加盖公章的合同复印件。复印件能清晰的表明合同双方名称、项目内容和签署日期。）</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详见附件：磋商响应方案-安全整改方案.docx</w:t>
      </w:r>
    </w:p>
    <w:p>
      <w:pPr>
        <w:pStyle w:val="null3"/>
        <w:ind w:firstLine="960"/>
      </w:pPr>
      <w:r>
        <w:rPr>
          <w:rFonts w:ascii="仿宋_GB2312" w:hAnsi="仿宋_GB2312" w:cs="仿宋_GB2312" w:eastAsia="仿宋_GB2312"/>
        </w:rPr>
        <w:t>详见附件：磋商响应方案-等级保护测评服务方案.docx</w:t>
      </w:r>
    </w:p>
    <w:p>
      <w:pPr>
        <w:pStyle w:val="null3"/>
        <w:ind w:firstLine="960"/>
      </w:pPr>
      <w:r>
        <w:rPr>
          <w:rFonts w:ascii="仿宋_GB2312" w:hAnsi="仿宋_GB2312" w:cs="仿宋_GB2312" w:eastAsia="仿宋_GB2312"/>
        </w:rPr>
        <w:t>详见附件：磋商响应方案-风险防范措施.docx</w:t>
      </w:r>
    </w:p>
    <w:p>
      <w:pPr>
        <w:pStyle w:val="null3"/>
        <w:ind w:firstLine="960"/>
      </w:pPr>
      <w:r>
        <w:rPr>
          <w:rFonts w:ascii="仿宋_GB2312" w:hAnsi="仿宋_GB2312" w:cs="仿宋_GB2312" w:eastAsia="仿宋_GB2312"/>
        </w:rPr>
        <w:t>详见附件：磋商响应方案-服务团队能力.docx</w:t>
      </w:r>
    </w:p>
    <w:p>
      <w:pPr>
        <w:pStyle w:val="null3"/>
        <w:ind w:firstLine="960"/>
      </w:pPr>
      <w:r>
        <w:rPr>
          <w:rFonts w:ascii="仿宋_GB2312" w:hAnsi="仿宋_GB2312" w:cs="仿宋_GB2312" w:eastAsia="仿宋_GB2312"/>
        </w:rPr>
        <w:t>详见附件：磋商响应方案-技术措施建设方案.docx</w:t>
      </w:r>
    </w:p>
    <w:p>
      <w:pPr>
        <w:pStyle w:val="null3"/>
        <w:ind w:firstLine="960"/>
      </w:pPr>
      <w:r>
        <w:rPr>
          <w:rFonts w:ascii="仿宋_GB2312" w:hAnsi="仿宋_GB2312" w:cs="仿宋_GB2312" w:eastAsia="仿宋_GB2312"/>
        </w:rPr>
        <w:t>详见附件：磋商响应方案-技术能力.docx</w:t>
      </w:r>
    </w:p>
    <w:p>
      <w:pPr>
        <w:pStyle w:val="null3"/>
        <w:ind w:firstLine="960"/>
      </w:pPr>
      <w:r>
        <w:rPr>
          <w:rFonts w:ascii="仿宋_GB2312" w:hAnsi="仿宋_GB2312" w:cs="仿宋_GB2312" w:eastAsia="仿宋_GB2312"/>
        </w:rPr>
        <w:t>详见附件：磋商响应方案-配合检查服务方案.docx</w:t>
      </w:r>
    </w:p>
    <w:p>
      <w:pPr>
        <w:pStyle w:val="null3"/>
        <w:ind w:firstLine="960"/>
      </w:pPr>
      <w:r>
        <w:rPr>
          <w:rFonts w:ascii="仿宋_GB2312" w:hAnsi="仿宋_GB2312" w:cs="仿宋_GB2312" w:eastAsia="仿宋_GB2312"/>
        </w:rPr>
        <w:t>详见附件：磋商响应方案-项目质量管理.docx</w:t>
      </w:r>
    </w:p>
    <w:p>
      <w:pPr>
        <w:pStyle w:val="null3"/>
        <w:ind w:firstLine="960"/>
      </w:pPr>
      <w:r>
        <w:rPr>
          <w:rFonts w:ascii="仿宋_GB2312" w:hAnsi="仿宋_GB2312" w:cs="仿宋_GB2312" w:eastAsia="仿宋_GB2312"/>
        </w:rPr>
        <w:t>详见附件：服务技术指标偏差表.docx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详见附件：THXZB2025-1009合同模板.docx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