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FB515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合同基本条款（必填）</w:t>
      </w:r>
    </w:p>
    <w:p w14:paraId="612B0A0F">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甲方：</w:t>
      </w:r>
      <w:r>
        <w:rPr>
          <w:rFonts w:hint="eastAsia" w:ascii="宋体" w:hAnsi="宋体" w:eastAsia="宋体" w:cs="Times New Roman"/>
          <w:sz w:val="24"/>
          <w:szCs w:val="24"/>
          <w:u w:val="single"/>
          <w:lang w:val="en-US" w:eastAsia="zh-CN" w:bidi="ar-SA"/>
        </w:rPr>
        <w:t>陕西中医药大学第二附属医院</w:t>
      </w:r>
    </w:p>
    <w:p w14:paraId="33EB58DC">
      <w:pPr>
        <w:widowControl w:val="0"/>
        <w:tabs>
          <w:tab w:val="left" w:pos="4294"/>
          <w:tab w:val="left" w:pos="6094"/>
        </w:tabs>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u w:val="single"/>
          <w:lang w:val="en-US" w:eastAsia="zh-CN" w:bidi="ar-SA"/>
        </w:rPr>
      </w:pPr>
      <w:r>
        <w:rPr>
          <w:rFonts w:hint="eastAsia" w:ascii="宋体" w:hAnsi="宋体" w:eastAsia="宋体" w:cs="Times New Roman"/>
          <w:sz w:val="24"/>
          <w:szCs w:val="24"/>
          <w:lang w:val="en-US" w:eastAsia="zh-CN" w:bidi="ar-SA"/>
        </w:rPr>
        <w:t>注册登记地址为：</w:t>
      </w:r>
      <w:r>
        <w:rPr>
          <w:rFonts w:hint="eastAsia" w:ascii="宋体" w:hAnsi="宋体" w:eastAsia="宋体" w:cs="Times New Roman"/>
          <w:sz w:val="24"/>
          <w:szCs w:val="24"/>
          <w:u w:val="single"/>
          <w:lang w:val="en-US" w:eastAsia="zh-CN" w:bidi="ar-SA"/>
        </w:rPr>
        <w:t>咸阳市渭阳西路5号、陕西省西咸新区沣西新城龙台观路831号</w:t>
      </w:r>
    </w:p>
    <w:p w14:paraId="3B73875B">
      <w:pPr>
        <w:widowControl w:val="0"/>
        <w:tabs>
          <w:tab w:val="left" w:pos="4294"/>
          <w:tab w:val="left" w:pos="6094"/>
        </w:tabs>
        <w:kinsoku w:val="0"/>
        <w:overflowPunct w:val="0"/>
        <w:autoSpaceDE w:val="0"/>
        <w:autoSpaceDN w:val="0"/>
        <w:adjustRightInd w:val="0"/>
        <w:spacing w:line="360" w:lineRule="auto"/>
        <w:ind w:firstLine="480" w:firstLineChars="200"/>
        <w:jc w:val="both"/>
        <w:rPr>
          <w:rFonts w:hint="default" w:ascii="宋体" w:hAnsi="宋体" w:eastAsia="宋体" w:cs="Times New Roman"/>
          <w:color w:val="FF0000"/>
          <w:sz w:val="24"/>
          <w:szCs w:val="24"/>
          <w:u w:val="single"/>
          <w:lang w:val="en-US" w:eastAsia="zh-CN" w:bidi="ar-SA"/>
        </w:rPr>
      </w:pPr>
      <w:r>
        <w:rPr>
          <w:rFonts w:hint="eastAsia" w:ascii="宋体" w:hAnsi="宋体" w:eastAsia="宋体" w:cs="Times New Roman"/>
          <w:sz w:val="24"/>
          <w:szCs w:val="24"/>
          <w:lang w:val="en-US" w:eastAsia="zh-CN" w:bidi="ar-SA"/>
        </w:rPr>
        <w:t>法定代表人为：</w:t>
      </w:r>
      <w:r>
        <w:rPr>
          <w:rFonts w:hint="default" w:ascii="宋体" w:hAnsi="宋体" w:eastAsia="宋体" w:cs="Times New Roman"/>
          <w:sz w:val="24"/>
          <w:szCs w:val="24"/>
          <w:u w:val="single"/>
          <w:lang w:val="en-US" w:eastAsia="zh-CN" w:bidi="ar-SA"/>
        </w:rPr>
        <w:t xml:space="preserve"> </w:t>
      </w:r>
      <w:r>
        <w:rPr>
          <w:rFonts w:hint="eastAsia" w:ascii="宋体" w:hAnsi="宋体" w:eastAsia="宋体" w:cs="Times New Roman"/>
          <w:sz w:val="24"/>
          <w:szCs w:val="24"/>
          <w:u w:val="single"/>
          <w:lang w:val="en-US" w:eastAsia="zh-CN" w:bidi="ar-SA"/>
        </w:rPr>
        <w:t xml:space="preserve">栗文斌 </w:t>
      </w:r>
    </w:p>
    <w:p w14:paraId="62AD5262">
      <w:pPr>
        <w:widowControl w:val="0"/>
        <w:kinsoku w:val="0"/>
        <w:overflowPunct w:val="0"/>
        <w:autoSpaceDE w:val="0"/>
        <w:autoSpaceDN w:val="0"/>
        <w:adjustRightInd w:val="0"/>
        <w:spacing w:line="360" w:lineRule="auto"/>
        <w:jc w:val="both"/>
        <w:rPr>
          <w:rFonts w:hint="default" w:ascii="宋体" w:hAnsi="宋体" w:eastAsia="宋体" w:cs="Times New Roman"/>
          <w:sz w:val="24"/>
          <w:szCs w:val="24"/>
          <w:lang w:val="en-US" w:eastAsia="zh-CN" w:bidi="ar-SA"/>
        </w:rPr>
      </w:pPr>
    </w:p>
    <w:p w14:paraId="064A6205">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乙方：</w:t>
      </w:r>
      <w:r>
        <w:rPr>
          <w:rFonts w:hint="eastAsia" w:ascii="宋体" w:hAnsi="宋体" w:eastAsia="宋体" w:cs="Times New Roman"/>
          <w:sz w:val="24"/>
          <w:szCs w:val="24"/>
          <w:u w:val="single"/>
          <w:lang w:val="en-US" w:eastAsia="zh-CN" w:bidi="ar-SA"/>
        </w:rPr>
        <w:t xml:space="preserve">                        </w:t>
      </w:r>
    </w:p>
    <w:p w14:paraId="1B914757">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注册登记地址为：</w:t>
      </w:r>
      <w:r>
        <w:rPr>
          <w:rFonts w:hint="eastAsia" w:ascii="宋体" w:hAnsi="宋体" w:eastAsia="宋体" w:cs="Times New Roman"/>
          <w:sz w:val="24"/>
          <w:szCs w:val="24"/>
          <w:u w:val="single"/>
          <w:lang w:val="en-US" w:eastAsia="zh-CN" w:bidi="ar-SA"/>
        </w:rPr>
        <w:t xml:space="preserve">                                </w:t>
      </w:r>
    </w:p>
    <w:p w14:paraId="21851C79">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法定代表人为：</w:t>
      </w:r>
      <w:r>
        <w:rPr>
          <w:rFonts w:hint="eastAsia" w:ascii="宋体" w:hAnsi="宋体" w:eastAsia="宋体" w:cs="Times New Roman"/>
          <w:sz w:val="24"/>
          <w:szCs w:val="24"/>
          <w:u w:val="single"/>
          <w:lang w:val="en-US" w:eastAsia="zh-CN" w:bidi="ar-SA"/>
        </w:rPr>
        <w:t xml:space="preserve">          </w:t>
      </w:r>
    </w:p>
    <w:p w14:paraId="5C7A31AA">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bookmarkStart w:id="0" w:name="_GoBack"/>
      <w:bookmarkEnd w:id="0"/>
      <w:r>
        <w:rPr>
          <w:rFonts w:hint="eastAsia" w:ascii="宋体" w:hAnsi="宋体" w:eastAsia="宋体" w:cs="Times New Roman"/>
          <w:sz w:val="24"/>
          <w:szCs w:val="24"/>
          <w:lang w:val="en-US" w:eastAsia="zh-CN" w:bidi="ar-SA"/>
        </w:rPr>
        <w:t>甲乙双方基于公平、公正、平等的原则，依据《中华人民共和国民法典》等相关法律法规规定，现经甲、乙双方友好协商，就甲方购买乙方产品设备事宜，达成以下合同条款：</w:t>
      </w:r>
    </w:p>
    <w:p w14:paraId="61E4BD6E">
      <w:pPr>
        <w:pStyle w:val="2"/>
        <w:kinsoku w:val="0"/>
        <w:overflowPunct w:val="0"/>
        <w:spacing w:before="0" w:line="360" w:lineRule="auto"/>
        <w:ind w:left="0"/>
        <w:jc w:val="left"/>
        <w:rPr>
          <w:rFonts w:ascii="宋体" w:hAnsi="宋体" w:eastAsia="宋体"/>
          <w:kern w:val="0"/>
        </w:rPr>
      </w:pPr>
      <w:r>
        <w:rPr>
          <w:rFonts w:ascii="宋体" w:hAnsi="宋体" w:eastAsia="宋体"/>
          <w:kern w:val="0"/>
        </w:rPr>
        <w:t>第一条：合同标的物</w:t>
      </w:r>
    </w:p>
    <w:tbl>
      <w:tblPr>
        <w:tblStyle w:val="5"/>
        <w:tblW w:w="5000" w:type="pct"/>
        <w:tblInd w:w="0" w:type="dxa"/>
        <w:tblLayout w:type="autofit"/>
        <w:tblCellMar>
          <w:top w:w="0" w:type="dxa"/>
          <w:left w:w="108" w:type="dxa"/>
          <w:bottom w:w="0" w:type="dxa"/>
          <w:right w:w="108" w:type="dxa"/>
        </w:tblCellMar>
      </w:tblPr>
      <w:tblGrid>
        <w:gridCol w:w="426"/>
        <w:gridCol w:w="1808"/>
        <w:gridCol w:w="1841"/>
        <w:gridCol w:w="707"/>
        <w:gridCol w:w="426"/>
        <w:gridCol w:w="1418"/>
        <w:gridCol w:w="1304"/>
        <w:gridCol w:w="592"/>
      </w:tblGrid>
      <w:tr w14:paraId="09F32BE7">
        <w:tblPrEx>
          <w:tblCellMar>
            <w:top w:w="0" w:type="dxa"/>
            <w:left w:w="108" w:type="dxa"/>
            <w:bottom w:w="0" w:type="dxa"/>
            <w:right w:w="108" w:type="dxa"/>
          </w:tblCellMar>
        </w:tblPrEx>
        <w:tc>
          <w:tcPr>
            <w:tcW w:w="25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4AE2DA">
            <w:pPr>
              <w:pStyle w:val="9"/>
              <w:kinsoku w:val="0"/>
              <w:overflowPunct w:val="0"/>
              <w:spacing w:before="0"/>
              <w:rPr>
                <w:rFonts w:hint="default"/>
                <w:kern w:val="0"/>
                <w:sz w:val="21"/>
                <w:szCs w:val="21"/>
              </w:rPr>
            </w:pPr>
            <w:r>
              <w:rPr>
                <w:kern w:val="0"/>
                <w:sz w:val="21"/>
                <w:szCs w:val="21"/>
              </w:rPr>
              <w:t>序号</w:t>
            </w:r>
          </w:p>
        </w:tc>
        <w:tc>
          <w:tcPr>
            <w:tcW w:w="1061"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C1DA55">
            <w:pPr>
              <w:pStyle w:val="9"/>
              <w:kinsoku w:val="0"/>
              <w:overflowPunct w:val="0"/>
              <w:spacing w:before="0"/>
              <w:rPr>
                <w:rFonts w:hint="default"/>
                <w:kern w:val="0"/>
                <w:sz w:val="21"/>
                <w:szCs w:val="21"/>
              </w:rPr>
            </w:pPr>
            <w:r>
              <w:rPr>
                <w:kern w:val="0"/>
                <w:sz w:val="21"/>
                <w:szCs w:val="21"/>
              </w:rPr>
              <w:t>项目名称</w:t>
            </w:r>
          </w:p>
        </w:tc>
        <w:tc>
          <w:tcPr>
            <w:tcW w:w="108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FE5D8BD">
            <w:pPr>
              <w:pStyle w:val="9"/>
              <w:kinsoku w:val="0"/>
              <w:overflowPunct w:val="0"/>
              <w:spacing w:before="0"/>
              <w:rPr>
                <w:rFonts w:hint="default"/>
                <w:kern w:val="0"/>
                <w:sz w:val="21"/>
                <w:szCs w:val="21"/>
              </w:rPr>
            </w:pPr>
            <w:r>
              <w:rPr>
                <w:kern w:val="0"/>
                <w:sz w:val="21"/>
                <w:szCs w:val="21"/>
              </w:rPr>
              <w:t>项目内容</w:t>
            </w:r>
          </w:p>
        </w:tc>
        <w:tc>
          <w:tcPr>
            <w:tcW w:w="415"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9280FC">
            <w:pPr>
              <w:pStyle w:val="9"/>
              <w:kinsoku w:val="0"/>
              <w:overflowPunct w:val="0"/>
              <w:spacing w:before="0"/>
              <w:rPr>
                <w:rFonts w:hint="default"/>
                <w:kern w:val="0"/>
                <w:sz w:val="21"/>
                <w:szCs w:val="21"/>
              </w:rPr>
            </w:pPr>
            <w:r>
              <w:rPr>
                <w:kern w:val="0"/>
                <w:sz w:val="21"/>
                <w:szCs w:val="21"/>
              </w:rPr>
              <w:t>计量单位</w:t>
            </w:r>
          </w:p>
        </w:tc>
        <w:tc>
          <w:tcPr>
            <w:tcW w:w="25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3CF423">
            <w:pPr>
              <w:pStyle w:val="9"/>
              <w:kinsoku w:val="0"/>
              <w:overflowPunct w:val="0"/>
              <w:spacing w:before="0"/>
              <w:rPr>
                <w:rFonts w:hint="default"/>
                <w:kern w:val="0"/>
                <w:sz w:val="21"/>
                <w:szCs w:val="21"/>
              </w:rPr>
            </w:pPr>
            <w:r>
              <w:rPr>
                <w:kern w:val="0"/>
                <w:sz w:val="21"/>
                <w:szCs w:val="21"/>
              </w:rPr>
              <w:t>数量</w:t>
            </w:r>
          </w:p>
        </w:tc>
        <w:tc>
          <w:tcPr>
            <w:tcW w:w="83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695883">
            <w:pPr>
              <w:pStyle w:val="9"/>
              <w:kinsoku w:val="0"/>
              <w:overflowPunct w:val="0"/>
              <w:spacing w:before="0"/>
              <w:rPr>
                <w:rFonts w:hint="default"/>
                <w:kern w:val="0"/>
                <w:sz w:val="21"/>
                <w:szCs w:val="21"/>
              </w:rPr>
            </w:pPr>
            <w:r>
              <w:rPr>
                <w:kern w:val="0"/>
                <w:sz w:val="21"/>
                <w:szCs w:val="21"/>
              </w:rPr>
              <w:t>单价（元）</w:t>
            </w:r>
          </w:p>
        </w:tc>
        <w:tc>
          <w:tcPr>
            <w:tcW w:w="765"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37510F4">
            <w:pPr>
              <w:pStyle w:val="9"/>
              <w:kinsoku w:val="0"/>
              <w:overflowPunct w:val="0"/>
              <w:spacing w:before="0"/>
              <w:rPr>
                <w:rFonts w:hint="default"/>
                <w:kern w:val="0"/>
                <w:sz w:val="21"/>
                <w:szCs w:val="21"/>
              </w:rPr>
            </w:pPr>
            <w:r>
              <w:rPr>
                <w:kern w:val="0"/>
                <w:sz w:val="21"/>
                <w:szCs w:val="21"/>
              </w:rPr>
              <w:t>总价（元）</w:t>
            </w:r>
          </w:p>
        </w:tc>
        <w:tc>
          <w:tcPr>
            <w:tcW w:w="34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137487">
            <w:pPr>
              <w:pStyle w:val="9"/>
              <w:kinsoku w:val="0"/>
              <w:overflowPunct w:val="0"/>
              <w:spacing w:before="0"/>
              <w:rPr>
                <w:rFonts w:hint="default"/>
                <w:kern w:val="0"/>
                <w:sz w:val="21"/>
                <w:szCs w:val="21"/>
              </w:rPr>
            </w:pPr>
            <w:r>
              <w:rPr>
                <w:kern w:val="0"/>
                <w:sz w:val="21"/>
                <w:szCs w:val="21"/>
              </w:rPr>
              <w:t>备注</w:t>
            </w:r>
          </w:p>
        </w:tc>
      </w:tr>
      <w:tr w14:paraId="604FBDC8">
        <w:tblPrEx>
          <w:tblCellMar>
            <w:top w:w="0" w:type="dxa"/>
            <w:left w:w="108" w:type="dxa"/>
            <w:bottom w:w="0" w:type="dxa"/>
            <w:right w:w="108" w:type="dxa"/>
          </w:tblCellMar>
        </w:tblPrEx>
        <w:tc>
          <w:tcPr>
            <w:tcW w:w="25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E3F4B87">
            <w:pPr>
              <w:pStyle w:val="9"/>
              <w:kinsoku w:val="0"/>
              <w:overflowPunct w:val="0"/>
              <w:spacing w:before="0"/>
              <w:rPr>
                <w:rFonts w:hint="default"/>
                <w:kern w:val="0"/>
                <w:sz w:val="21"/>
                <w:szCs w:val="21"/>
              </w:rPr>
            </w:pPr>
            <w:r>
              <w:rPr>
                <w:kern w:val="0"/>
                <w:sz w:val="21"/>
                <w:szCs w:val="21"/>
              </w:rPr>
              <w:t>1</w:t>
            </w:r>
          </w:p>
        </w:tc>
        <w:tc>
          <w:tcPr>
            <w:tcW w:w="1061"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AD337F">
            <w:pPr>
              <w:pStyle w:val="9"/>
              <w:kinsoku w:val="0"/>
              <w:overflowPunct w:val="0"/>
              <w:spacing w:before="0"/>
              <w:rPr>
                <w:rFonts w:hint="default"/>
                <w:kern w:val="0"/>
                <w:sz w:val="21"/>
                <w:szCs w:val="21"/>
              </w:rPr>
            </w:pPr>
          </w:p>
          <w:p w14:paraId="1706371F">
            <w:pPr>
              <w:pStyle w:val="9"/>
              <w:kinsoku w:val="0"/>
              <w:overflowPunct w:val="0"/>
              <w:spacing w:before="0"/>
              <w:rPr>
                <w:rFonts w:hint="default"/>
                <w:kern w:val="0"/>
                <w:sz w:val="21"/>
                <w:szCs w:val="21"/>
              </w:rPr>
            </w:pPr>
          </w:p>
        </w:tc>
        <w:tc>
          <w:tcPr>
            <w:tcW w:w="108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3D3BE6">
            <w:pPr>
              <w:pStyle w:val="9"/>
              <w:kinsoku w:val="0"/>
              <w:overflowPunct w:val="0"/>
              <w:spacing w:before="0"/>
              <w:rPr>
                <w:rFonts w:hint="default"/>
                <w:kern w:val="0"/>
                <w:sz w:val="21"/>
                <w:szCs w:val="21"/>
              </w:rPr>
            </w:pPr>
          </w:p>
        </w:tc>
        <w:tc>
          <w:tcPr>
            <w:tcW w:w="415"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450C60">
            <w:pPr>
              <w:pStyle w:val="9"/>
              <w:kinsoku w:val="0"/>
              <w:overflowPunct w:val="0"/>
              <w:spacing w:before="0"/>
              <w:rPr>
                <w:rFonts w:hint="default"/>
                <w:kern w:val="0"/>
                <w:sz w:val="21"/>
                <w:szCs w:val="21"/>
              </w:rPr>
            </w:pPr>
          </w:p>
        </w:tc>
        <w:tc>
          <w:tcPr>
            <w:tcW w:w="25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F6149C">
            <w:pPr>
              <w:pStyle w:val="9"/>
              <w:kinsoku w:val="0"/>
              <w:overflowPunct w:val="0"/>
              <w:spacing w:before="0"/>
              <w:rPr>
                <w:rFonts w:hint="default"/>
                <w:kern w:val="0"/>
                <w:sz w:val="21"/>
                <w:szCs w:val="21"/>
              </w:rPr>
            </w:pPr>
          </w:p>
        </w:tc>
        <w:tc>
          <w:tcPr>
            <w:tcW w:w="83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81E673">
            <w:pPr>
              <w:pStyle w:val="9"/>
              <w:kinsoku w:val="0"/>
              <w:overflowPunct w:val="0"/>
              <w:spacing w:before="0"/>
              <w:rPr>
                <w:rFonts w:hint="default"/>
                <w:kern w:val="0"/>
                <w:sz w:val="21"/>
                <w:szCs w:val="21"/>
              </w:rPr>
            </w:pPr>
          </w:p>
        </w:tc>
        <w:tc>
          <w:tcPr>
            <w:tcW w:w="765"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8055FE">
            <w:pPr>
              <w:pStyle w:val="9"/>
              <w:kinsoku w:val="0"/>
              <w:overflowPunct w:val="0"/>
              <w:spacing w:before="0"/>
              <w:rPr>
                <w:rFonts w:hint="default"/>
                <w:kern w:val="0"/>
                <w:sz w:val="21"/>
                <w:szCs w:val="21"/>
              </w:rPr>
            </w:pPr>
          </w:p>
        </w:tc>
        <w:tc>
          <w:tcPr>
            <w:tcW w:w="34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69D286">
            <w:pPr>
              <w:autoSpaceDE w:val="0"/>
              <w:autoSpaceDN w:val="0"/>
              <w:adjustRightInd w:val="0"/>
              <w:jc w:val="center"/>
              <w:rPr>
                <w:rFonts w:hint="default" w:ascii="宋体" w:hAnsi="宋体" w:eastAsia="宋体" w:cs="Times New Roman"/>
                <w:kern w:val="0"/>
                <w:sz w:val="21"/>
                <w:szCs w:val="21"/>
              </w:rPr>
            </w:pPr>
          </w:p>
        </w:tc>
      </w:tr>
      <w:tr w14:paraId="5F98F4D2">
        <w:tblPrEx>
          <w:tblCellMar>
            <w:top w:w="0" w:type="dxa"/>
            <w:left w:w="108" w:type="dxa"/>
            <w:bottom w:w="0" w:type="dxa"/>
            <w:right w:w="108" w:type="dxa"/>
          </w:tblCellMar>
        </w:tblPrEx>
        <w:trPr>
          <w:trHeight w:val="454" w:hRule="atLeast"/>
        </w:trPr>
        <w:tc>
          <w:tcPr>
            <w:tcW w:w="5000" w:type="pct"/>
            <w:gridSpan w:val="8"/>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A76125">
            <w:pPr>
              <w:pStyle w:val="9"/>
              <w:kinsoku w:val="0"/>
              <w:overflowPunct w:val="0"/>
              <w:spacing w:before="0"/>
              <w:jc w:val="left"/>
              <w:rPr>
                <w:rFonts w:hint="default"/>
                <w:kern w:val="0"/>
                <w:sz w:val="21"/>
                <w:szCs w:val="21"/>
              </w:rPr>
            </w:pPr>
            <w:r>
              <w:rPr>
                <w:kern w:val="0"/>
                <w:sz w:val="21"/>
                <w:szCs w:val="21"/>
              </w:rPr>
              <w:t>金额合计（人民币大写）：</w:t>
            </w:r>
            <w:r>
              <w:rPr>
                <w:kern w:val="0"/>
                <w:sz w:val="21"/>
                <w:szCs w:val="21"/>
                <w:u w:val="single"/>
              </w:rPr>
              <w:t xml:space="preserve">             </w:t>
            </w:r>
            <w:r>
              <w:rPr>
                <w:kern w:val="0"/>
                <w:sz w:val="21"/>
                <w:szCs w:val="21"/>
              </w:rPr>
              <w:t>元整      （小写）¥：</w:t>
            </w:r>
            <w:r>
              <w:rPr>
                <w:kern w:val="0"/>
                <w:sz w:val="21"/>
                <w:szCs w:val="21"/>
                <w:u w:val="single"/>
              </w:rPr>
              <w:t xml:space="preserve">     元</w:t>
            </w:r>
          </w:p>
        </w:tc>
      </w:tr>
      <w:tr w14:paraId="7D0AC54A">
        <w:tblPrEx>
          <w:tblCellMar>
            <w:top w:w="0" w:type="dxa"/>
            <w:left w:w="108" w:type="dxa"/>
            <w:bottom w:w="0" w:type="dxa"/>
            <w:right w:w="108" w:type="dxa"/>
          </w:tblCellMar>
        </w:tblPrEx>
        <w:trPr>
          <w:trHeight w:val="624" w:hRule="atLeast"/>
        </w:trPr>
        <w:tc>
          <w:tcPr>
            <w:tcW w:w="5000" w:type="pct"/>
            <w:gridSpan w:val="8"/>
            <w:tcBorders>
              <w:top w:val="single" w:color="000000" w:sz="4" w:space="0"/>
              <w:left w:val="single" w:color="000000" w:sz="4" w:space="0"/>
              <w:bottom w:val="single" w:color="000000" w:sz="4" w:space="0"/>
              <w:right w:val="single" w:color="000000" w:sz="4" w:space="0"/>
              <w:tl2br w:val="nil"/>
              <w:tr2bl w:val="nil"/>
            </w:tcBorders>
            <w:noWrap w:val="0"/>
            <w:vAlign w:val="center"/>
          </w:tcPr>
          <w:p w14:paraId="7EB82F23">
            <w:pPr>
              <w:pStyle w:val="9"/>
              <w:kinsoku w:val="0"/>
              <w:overflowPunct w:val="0"/>
              <w:spacing w:before="0"/>
              <w:jc w:val="left"/>
              <w:rPr>
                <w:rFonts w:hint="default"/>
                <w:kern w:val="0"/>
                <w:sz w:val="21"/>
                <w:szCs w:val="21"/>
              </w:rPr>
            </w:pPr>
            <w:r>
              <w:rPr>
                <w:kern w:val="0"/>
                <w:sz w:val="21"/>
                <w:szCs w:val="21"/>
              </w:rPr>
              <w:t>备注：产品应当符合国家规范规定的标准及乙方投标文件所述和宣传的标准，设备配置详单详见合同附件。</w:t>
            </w:r>
          </w:p>
        </w:tc>
      </w:tr>
    </w:tbl>
    <w:p w14:paraId="183B6EE9">
      <w:pPr>
        <w:pStyle w:val="2"/>
        <w:kinsoku w:val="0"/>
        <w:overflowPunct w:val="0"/>
        <w:spacing w:before="240" w:beforeLines="100" w:line="360" w:lineRule="auto"/>
        <w:ind w:left="0"/>
        <w:jc w:val="left"/>
        <w:rPr>
          <w:rFonts w:ascii="宋体" w:hAnsi="宋体" w:eastAsia="宋体"/>
          <w:kern w:val="0"/>
        </w:rPr>
      </w:pPr>
      <w:r>
        <w:rPr>
          <w:rFonts w:ascii="宋体" w:hAnsi="宋体" w:eastAsia="宋体"/>
          <w:kern w:val="0"/>
        </w:rPr>
        <w:t>第二条：合同价款</w:t>
      </w:r>
    </w:p>
    <w:p w14:paraId="2860CE71">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1</w:t>
      </w:r>
      <w:r>
        <w:rPr>
          <w:rFonts w:hint="eastAsia" w:ascii="宋体" w:hAnsi="宋体" w:eastAsia="宋体" w:cs="Times New Roman"/>
          <w:sz w:val="24"/>
          <w:szCs w:val="24"/>
          <w:lang w:val="en-US" w:eastAsia="zh-CN" w:bidi="ar-SA"/>
        </w:rPr>
        <w:t>、合同总金额：</w:t>
      </w:r>
      <w:r>
        <w:rPr>
          <w:rFonts w:hint="eastAsia" w:ascii="宋体" w:hAnsi="宋体" w:eastAsia="宋体" w:cs="Times New Roman"/>
          <w:sz w:val="24"/>
          <w:szCs w:val="24"/>
          <w:u w:val="single"/>
          <w:lang w:val="en-US" w:eastAsia="zh-CN" w:bidi="ar-SA"/>
        </w:rPr>
        <w:t xml:space="preserve">                           </w:t>
      </w:r>
    </w:p>
    <w:p w14:paraId="52B2E7AB">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、合同总金额一次性包死，包含产品供应价、运杂费（含仓储费、装卸费、保险费）、安装调试费、培训费</w:t>
      </w:r>
      <w:r>
        <w:rPr>
          <w:rFonts w:hint="default" w:ascii="宋体" w:hAnsi="宋体" w:eastAsia="宋体" w:cs="Times New Roman"/>
          <w:sz w:val="24"/>
          <w:szCs w:val="24"/>
          <w:lang w:val="en-US" w:eastAsia="zh-CN" w:bidi="ar-SA"/>
        </w:rPr>
        <w:t>、税金等</w:t>
      </w:r>
      <w:r>
        <w:rPr>
          <w:rFonts w:hint="eastAsia" w:ascii="宋体" w:hAnsi="宋体" w:eastAsia="宋体" w:cs="Times New Roman"/>
          <w:sz w:val="24"/>
          <w:szCs w:val="24"/>
          <w:lang w:val="en-US" w:eastAsia="zh-CN" w:bidi="ar-SA"/>
        </w:rPr>
        <w:t>其它不可预见费用。</w:t>
      </w:r>
    </w:p>
    <w:p w14:paraId="075F083D">
      <w:pPr>
        <w:pStyle w:val="2"/>
        <w:kinsoku w:val="0"/>
        <w:overflowPunct w:val="0"/>
        <w:spacing w:before="0" w:line="360" w:lineRule="auto"/>
        <w:ind w:left="0"/>
        <w:jc w:val="left"/>
        <w:rPr>
          <w:rFonts w:ascii="宋体" w:hAnsi="宋体" w:eastAsia="宋体"/>
          <w:kern w:val="0"/>
        </w:rPr>
      </w:pPr>
      <w:r>
        <w:rPr>
          <w:rFonts w:ascii="宋体" w:hAnsi="宋体" w:eastAsia="宋体"/>
          <w:kern w:val="0"/>
        </w:rPr>
        <w:t>第三条：交货地点</w:t>
      </w:r>
      <w:r>
        <w:rPr>
          <w:rFonts w:hint="eastAsia" w:ascii="宋体" w:hAnsi="宋体" w:eastAsia="宋体"/>
          <w:kern w:val="0"/>
        </w:rPr>
        <w:t>：</w:t>
      </w:r>
      <w:r>
        <w:rPr>
          <w:rFonts w:ascii="宋体" w:hAnsi="宋体" w:eastAsia="宋体"/>
          <w:b w:val="0"/>
          <w:kern w:val="0"/>
        </w:rPr>
        <w:t>甲方指定地点。</w:t>
      </w:r>
    </w:p>
    <w:p w14:paraId="4C486070">
      <w:pPr>
        <w:pStyle w:val="2"/>
        <w:kinsoku w:val="0"/>
        <w:overflowPunct w:val="0"/>
        <w:spacing w:before="0" w:line="360" w:lineRule="auto"/>
        <w:ind w:left="0"/>
        <w:jc w:val="left"/>
        <w:rPr>
          <w:rFonts w:ascii="宋体" w:hAnsi="宋体" w:eastAsia="宋体"/>
          <w:kern w:val="0"/>
        </w:rPr>
      </w:pPr>
      <w:r>
        <w:rPr>
          <w:rFonts w:ascii="宋体" w:hAnsi="宋体" w:eastAsia="宋体"/>
          <w:kern w:val="0"/>
        </w:rPr>
        <w:t>第四条：交货时间</w:t>
      </w:r>
      <w:r>
        <w:rPr>
          <w:rFonts w:hint="eastAsia" w:ascii="宋体" w:hAnsi="宋体" w:eastAsia="宋体"/>
          <w:kern w:val="0"/>
        </w:rPr>
        <w:t>：</w:t>
      </w:r>
      <w:r>
        <w:rPr>
          <w:rFonts w:ascii="宋体" w:hAnsi="宋体" w:eastAsia="宋体"/>
          <w:b w:val="0"/>
          <w:kern w:val="0"/>
        </w:rPr>
        <w:t>合同签订</w:t>
      </w:r>
      <w:r>
        <w:rPr>
          <w:rFonts w:hint="eastAsia" w:ascii="宋体" w:hAnsi="宋体" w:eastAsia="宋体"/>
          <w:b w:val="0"/>
          <w:kern w:val="0"/>
        </w:rPr>
        <w:t>后，乙方于</w:t>
      </w:r>
      <w:r>
        <w:rPr>
          <w:rFonts w:hint="eastAsia" w:ascii="宋体" w:hAnsi="宋体" w:eastAsia="宋体"/>
          <w:b w:val="0"/>
          <w:kern w:val="0"/>
          <w:u w:val="single"/>
        </w:rPr>
        <w:t xml:space="preserve">    </w:t>
      </w:r>
      <w:r>
        <w:rPr>
          <w:rFonts w:hint="eastAsia" w:ascii="宋体" w:hAnsi="宋体" w:eastAsia="宋体"/>
          <w:b w:val="0"/>
          <w:kern w:val="0"/>
        </w:rPr>
        <w:t>年</w:t>
      </w:r>
      <w:r>
        <w:rPr>
          <w:rFonts w:hint="eastAsia" w:ascii="宋体" w:hAnsi="宋体" w:eastAsia="宋体"/>
          <w:b w:val="0"/>
          <w:kern w:val="0"/>
          <w:u w:val="single"/>
        </w:rPr>
        <w:t xml:space="preserve">  </w:t>
      </w:r>
      <w:r>
        <w:rPr>
          <w:rFonts w:hint="eastAsia" w:ascii="宋体" w:hAnsi="宋体" w:eastAsia="宋体"/>
          <w:b w:val="0"/>
          <w:kern w:val="0"/>
        </w:rPr>
        <w:t>月</w:t>
      </w:r>
      <w:r>
        <w:rPr>
          <w:rFonts w:hint="eastAsia" w:ascii="宋体" w:hAnsi="宋体" w:eastAsia="宋体"/>
          <w:b w:val="0"/>
          <w:kern w:val="0"/>
          <w:u w:val="single"/>
        </w:rPr>
        <w:t xml:space="preserve">  </w:t>
      </w:r>
      <w:r>
        <w:rPr>
          <w:rFonts w:hint="eastAsia" w:ascii="宋体" w:hAnsi="宋体" w:eastAsia="宋体"/>
          <w:b w:val="0"/>
          <w:kern w:val="0"/>
        </w:rPr>
        <w:t>日之前交付，软件系统到货、安装调试完成（</w:t>
      </w:r>
      <w:r>
        <w:rPr>
          <w:rFonts w:ascii="宋体" w:hAnsi="宋体" w:eastAsia="宋体"/>
          <w:b w:val="0"/>
          <w:kern w:val="0"/>
        </w:rPr>
        <w:t>因</w:t>
      </w:r>
      <w:r>
        <w:rPr>
          <w:rFonts w:hint="eastAsia" w:ascii="宋体" w:hAnsi="宋体" w:eastAsia="宋体"/>
          <w:b w:val="0"/>
          <w:kern w:val="0"/>
        </w:rPr>
        <w:t>甲方</w:t>
      </w:r>
      <w:r>
        <w:rPr>
          <w:rFonts w:ascii="宋体" w:hAnsi="宋体" w:eastAsia="宋体"/>
          <w:b w:val="0"/>
          <w:kern w:val="0"/>
        </w:rPr>
        <w:t>硬件环境准备、第三方系统接口对接、政策文件未下发等造成的工期延迟不计算在内</w:t>
      </w:r>
      <w:r>
        <w:rPr>
          <w:rFonts w:hint="eastAsia" w:ascii="宋体" w:hAnsi="宋体" w:eastAsia="宋体"/>
          <w:b w:val="0"/>
          <w:kern w:val="0"/>
        </w:rPr>
        <w:t>），确保系统在甲方处可以正常运行。</w:t>
      </w:r>
    </w:p>
    <w:p w14:paraId="5E68D8D9">
      <w:pPr>
        <w:pStyle w:val="2"/>
        <w:kinsoku w:val="0"/>
        <w:overflowPunct w:val="0"/>
        <w:spacing w:before="0" w:line="360" w:lineRule="auto"/>
        <w:ind w:left="0"/>
        <w:jc w:val="left"/>
        <w:rPr>
          <w:rFonts w:ascii="宋体" w:hAnsi="宋体" w:eastAsia="宋体"/>
          <w:kern w:val="0"/>
        </w:rPr>
      </w:pPr>
      <w:r>
        <w:rPr>
          <w:rFonts w:ascii="宋体" w:hAnsi="宋体" w:eastAsia="宋体"/>
          <w:kern w:val="0"/>
        </w:rPr>
        <w:t>第五条：</w:t>
      </w:r>
      <w:r>
        <w:rPr>
          <w:rFonts w:hint="eastAsia" w:ascii="宋体" w:hAnsi="宋体" w:eastAsia="宋体"/>
          <w:kern w:val="0"/>
        </w:rPr>
        <w:t>收件信息</w:t>
      </w:r>
    </w:p>
    <w:p w14:paraId="09DC8F1F">
      <w:pPr>
        <w:keepNext w:val="0"/>
        <w:keepLines w:val="0"/>
        <w:pageBreakBefore w:val="0"/>
        <w:widowControl w:val="0"/>
        <w:kinsoku w:val="0"/>
        <w:wordWrap/>
        <w:overflowPunct w:val="0"/>
        <w:topLinePunct w:val="0"/>
        <w:autoSpaceDE w:val="0"/>
        <w:autoSpaceDN w:val="0"/>
        <w:bidi w:val="0"/>
        <w:adjustRightInd w:val="0"/>
        <w:snapToGrid/>
        <w:spacing w:before="0" w:line="360" w:lineRule="auto"/>
        <w:ind w:left="0"/>
        <w:jc w:val="left"/>
        <w:textAlignment w:val="auto"/>
        <w:outlineLvl w:val="9"/>
        <w:rPr>
          <w:rFonts w:hint="eastAsia" w:ascii="宋体" w:hAnsi="宋体" w:eastAsia="宋体" w:cs="Times New Roman"/>
          <w:b w:val="0"/>
          <w:color w:val="FF0000"/>
          <w:kern w:val="0"/>
          <w:sz w:val="24"/>
          <w:szCs w:val="24"/>
        </w:rPr>
      </w:pPr>
      <w:r>
        <w:rPr>
          <w:rFonts w:hint="eastAsia" w:ascii="宋体" w:hAnsi="宋体" w:eastAsia="宋体" w:cs="Times New Roman"/>
          <w:b w:val="0"/>
          <w:kern w:val="0"/>
          <w:sz w:val="24"/>
          <w:szCs w:val="24"/>
        </w:rPr>
        <w:t>甲方指定收件人为：</w:t>
      </w:r>
      <w:r>
        <w:rPr>
          <w:rFonts w:hint="eastAsia" w:ascii="宋体" w:hAnsi="宋体" w:eastAsia="宋体" w:cs="Times New Roman"/>
          <w:b w:val="0"/>
          <w:kern w:val="0"/>
          <w:sz w:val="24"/>
          <w:szCs w:val="24"/>
          <w:u w:val="single"/>
        </w:rPr>
        <w:t xml:space="preserve">          </w:t>
      </w:r>
      <w:r>
        <w:rPr>
          <w:rFonts w:hint="eastAsia" w:ascii="宋体" w:hAnsi="宋体" w:eastAsia="宋体" w:cs="Times New Roman"/>
          <w:b w:val="0"/>
          <w:kern w:val="0"/>
          <w:sz w:val="24"/>
          <w:szCs w:val="24"/>
        </w:rPr>
        <w:t>，联系电话：</w:t>
      </w:r>
      <w:r>
        <w:rPr>
          <w:rFonts w:hint="eastAsia" w:ascii="宋体" w:hAnsi="宋体" w:eastAsia="宋体" w:cs="Times New Roman"/>
          <w:b w:val="0"/>
          <w:kern w:val="0"/>
          <w:sz w:val="24"/>
          <w:szCs w:val="24"/>
          <w:u w:val="single"/>
        </w:rPr>
        <w:t xml:space="preserve">             </w:t>
      </w:r>
      <w:r>
        <w:rPr>
          <w:rFonts w:hint="eastAsia" w:ascii="宋体" w:hAnsi="宋体" w:eastAsia="宋体" w:cs="Times New Roman"/>
          <w:b w:val="0"/>
          <w:kern w:val="0"/>
          <w:sz w:val="24"/>
          <w:szCs w:val="24"/>
        </w:rPr>
        <w:t>。</w:t>
      </w:r>
    </w:p>
    <w:p w14:paraId="52BFECB9">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根据使用需要，甲方如需提前或推迟收货，甲方应当</w:t>
      </w:r>
      <w:r>
        <w:rPr>
          <w:rFonts w:hint="default" w:ascii="宋体" w:hAnsi="宋体" w:eastAsia="宋体" w:cs="Times New Roman"/>
          <w:sz w:val="24"/>
          <w:szCs w:val="24"/>
          <w:lang w:val="en-US" w:eastAsia="zh-CN" w:bidi="ar-SA"/>
        </w:rPr>
        <w:t>提前电话或邮箱或其他任何在本合同约定的方式通知乙方</w:t>
      </w:r>
      <w:r>
        <w:rPr>
          <w:rFonts w:hint="eastAsia" w:ascii="宋体" w:hAnsi="宋体" w:eastAsia="宋体" w:cs="Times New Roman"/>
          <w:sz w:val="24"/>
          <w:szCs w:val="24"/>
          <w:lang w:val="en-US" w:eastAsia="zh-CN" w:bidi="ar-SA"/>
        </w:rPr>
        <w:t>，乙方应无条件配合，不得收取仓储费等任何费用。</w:t>
      </w:r>
    </w:p>
    <w:p w14:paraId="10D2FFDD">
      <w:pPr>
        <w:pStyle w:val="2"/>
        <w:kinsoku w:val="0"/>
        <w:overflowPunct w:val="0"/>
        <w:spacing w:before="0" w:line="360" w:lineRule="auto"/>
        <w:ind w:left="0"/>
        <w:jc w:val="left"/>
        <w:rPr>
          <w:rFonts w:ascii="宋体" w:hAnsi="宋体" w:eastAsia="宋体"/>
          <w:kern w:val="0"/>
        </w:rPr>
      </w:pPr>
      <w:r>
        <w:rPr>
          <w:rFonts w:ascii="宋体" w:hAnsi="宋体" w:eastAsia="宋体"/>
          <w:kern w:val="0"/>
        </w:rPr>
        <w:t>第六条：货款结算方式</w:t>
      </w:r>
    </w:p>
    <w:p w14:paraId="7FA3BDC4">
      <w:pPr>
        <w:keepNext w:val="0"/>
        <w:keepLines w:val="0"/>
        <w:pageBreakBefore w:val="0"/>
        <w:widowControl w:val="0"/>
        <w:kinsoku w:val="0"/>
        <w:wordWrap/>
        <w:overflowPunct w:val="0"/>
        <w:topLinePunct w:val="0"/>
        <w:autoSpaceDE w:val="0"/>
        <w:autoSpaceDN w:val="0"/>
        <w:bidi w:val="0"/>
        <w:adjustRightInd w:val="0"/>
        <w:snapToGrid/>
        <w:spacing w:before="0" w:line="360" w:lineRule="auto"/>
        <w:ind w:left="0" w:firstLine="480" w:firstLineChars="200"/>
        <w:jc w:val="both"/>
        <w:textAlignment w:val="auto"/>
        <w:outlineLvl w:val="9"/>
        <w:rPr>
          <w:rFonts w:hint="eastAsia" w:ascii="宋体" w:hAnsi="宋体" w:eastAsia="宋体" w:cs="Times New Roman"/>
          <w:b w:val="0"/>
          <w:kern w:val="0"/>
          <w:sz w:val="24"/>
          <w:szCs w:val="24"/>
        </w:rPr>
      </w:pPr>
      <w:r>
        <w:rPr>
          <w:rFonts w:hint="eastAsia" w:ascii="宋体" w:hAnsi="宋体" w:eastAsia="宋体" w:cs="Times New Roman"/>
          <w:b w:val="0"/>
          <w:kern w:val="0"/>
          <w:sz w:val="24"/>
          <w:szCs w:val="24"/>
        </w:rPr>
        <w:t>1、付款方式：合同总额为</w:t>
      </w:r>
      <w:r>
        <w:rPr>
          <w:rFonts w:hint="eastAsia" w:ascii="宋体" w:hAnsi="宋体" w:eastAsia="宋体" w:cs="Times New Roman"/>
          <w:b w:val="0"/>
          <w:kern w:val="0"/>
          <w:sz w:val="24"/>
          <w:szCs w:val="24"/>
          <w:u w:val="single"/>
        </w:rPr>
        <w:t xml:space="preserve">¥         </w:t>
      </w:r>
      <w:r>
        <w:rPr>
          <w:rFonts w:hint="eastAsia" w:ascii="宋体" w:hAnsi="宋体" w:eastAsia="宋体" w:cs="Times New Roman"/>
          <w:b w:val="0"/>
          <w:kern w:val="0"/>
          <w:sz w:val="24"/>
          <w:szCs w:val="24"/>
        </w:rPr>
        <w:t>元。合同签订且具备实施条件后7个工作日内甲方向乙方支付合同金额的</w:t>
      </w:r>
      <w:r>
        <w:rPr>
          <w:rFonts w:hint="eastAsia" w:ascii="宋体" w:hAnsi="宋体" w:eastAsia="宋体" w:cs="Times New Roman"/>
          <w:b w:val="0"/>
          <w:kern w:val="0"/>
          <w:sz w:val="24"/>
          <w:szCs w:val="24"/>
          <w:lang w:val="en-US" w:eastAsia="zh-CN"/>
        </w:rPr>
        <w:t>3</w:t>
      </w:r>
      <w:r>
        <w:rPr>
          <w:rFonts w:hint="eastAsia" w:ascii="宋体" w:hAnsi="宋体" w:eastAsia="宋体" w:cs="Times New Roman"/>
          <w:b w:val="0"/>
          <w:kern w:val="0"/>
          <w:sz w:val="24"/>
          <w:szCs w:val="24"/>
        </w:rPr>
        <w:t>0%作为预付款，即</w:t>
      </w:r>
      <w:r>
        <w:rPr>
          <w:rFonts w:hint="eastAsia" w:ascii="宋体" w:hAnsi="宋体" w:eastAsia="宋体" w:cs="Times New Roman"/>
          <w:b w:val="0"/>
          <w:kern w:val="0"/>
          <w:sz w:val="24"/>
          <w:szCs w:val="24"/>
          <w:u w:val="single"/>
        </w:rPr>
        <w:t xml:space="preserve">¥           </w:t>
      </w:r>
      <w:r>
        <w:rPr>
          <w:rFonts w:hint="eastAsia" w:ascii="宋体" w:hAnsi="宋体" w:eastAsia="宋体" w:cs="Times New Roman"/>
          <w:b w:val="0"/>
          <w:kern w:val="0"/>
          <w:sz w:val="24"/>
          <w:szCs w:val="24"/>
        </w:rPr>
        <w:t>元；项目验收通过后，甲方向乙方支付合同金额的</w:t>
      </w:r>
      <w:r>
        <w:rPr>
          <w:rFonts w:hint="eastAsia" w:ascii="宋体" w:hAnsi="宋体" w:eastAsia="宋体" w:cs="Times New Roman"/>
          <w:b w:val="0"/>
          <w:kern w:val="0"/>
          <w:sz w:val="24"/>
          <w:szCs w:val="24"/>
          <w:lang w:val="en-US" w:eastAsia="zh-CN"/>
        </w:rPr>
        <w:t>6</w:t>
      </w:r>
      <w:r>
        <w:rPr>
          <w:rFonts w:hint="eastAsia" w:ascii="宋体" w:hAnsi="宋体" w:eastAsia="宋体" w:cs="Times New Roman"/>
          <w:b w:val="0"/>
          <w:kern w:val="0"/>
          <w:sz w:val="24"/>
          <w:szCs w:val="24"/>
        </w:rPr>
        <w:t>0%作为验收款，即</w:t>
      </w:r>
      <w:r>
        <w:rPr>
          <w:rFonts w:hint="eastAsia" w:ascii="宋体" w:hAnsi="宋体" w:eastAsia="宋体" w:cs="Times New Roman"/>
          <w:b w:val="0"/>
          <w:kern w:val="0"/>
          <w:sz w:val="24"/>
          <w:szCs w:val="24"/>
          <w:u w:val="single"/>
        </w:rPr>
        <w:t xml:space="preserve">¥           </w:t>
      </w:r>
      <w:r>
        <w:rPr>
          <w:rFonts w:hint="eastAsia" w:ascii="宋体" w:hAnsi="宋体" w:eastAsia="宋体" w:cs="Times New Roman"/>
          <w:b w:val="0"/>
          <w:kern w:val="0"/>
          <w:sz w:val="24"/>
          <w:szCs w:val="24"/>
        </w:rPr>
        <w:t>元；项目验收一年后甲方凭乙方提供的发票支付合同剩余10%货款，即</w:t>
      </w:r>
      <w:r>
        <w:rPr>
          <w:rFonts w:hint="eastAsia" w:ascii="宋体" w:hAnsi="宋体" w:eastAsia="宋体" w:cs="Times New Roman"/>
          <w:b w:val="0"/>
          <w:kern w:val="0"/>
          <w:sz w:val="24"/>
          <w:szCs w:val="24"/>
          <w:u w:val="single"/>
        </w:rPr>
        <w:t xml:space="preserve">¥         </w:t>
      </w:r>
      <w:r>
        <w:rPr>
          <w:rFonts w:hint="eastAsia" w:ascii="宋体" w:hAnsi="宋体" w:eastAsia="宋体" w:cs="Times New Roman"/>
          <w:b w:val="0"/>
          <w:kern w:val="0"/>
          <w:sz w:val="24"/>
          <w:szCs w:val="24"/>
        </w:rPr>
        <w:t>元。（具体以财务结算部门要求为准）</w:t>
      </w:r>
    </w:p>
    <w:p w14:paraId="32B2930A">
      <w:pPr>
        <w:widowControl w:val="0"/>
        <w:tabs>
          <w:tab w:val="left" w:pos="6279"/>
        </w:tabs>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、支付方式：甲方直接将合同款通过银行转账的方式转入乙方指定的专用账号。</w:t>
      </w:r>
    </w:p>
    <w:p w14:paraId="41704D8C">
      <w:pPr>
        <w:widowControl w:val="0"/>
        <w:tabs>
          <w:tab w:val="left" w:pos="6279"/>
        </w:tabs>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乙方账户名：</w:t>
      </w:r>
      <w:r>
        <w:rPr>
          <w:rFonts w:hint="eastAsia" w:ascii="宋体" w:hAnsi="宋体" w:eastAsia="宋体" w:cs="Times New Roman"/>
          <w:sz w:val="24"/>
          <w:szCs w:val="24"/>
          <w:u w:val="single"/>
          <w:lang w:val="en-US" w:eastAsia="zh-CN" w:bidi="ar-SA"/>
        </w:rPr>
        <w:t xml:space="preserve"> </w:t>
      </w:r>
      <w:r>
        <w:rPr>
          <w:rFonts w:hint="default" w:ascii="宋体" w:hAnsi="宋体" w:eastAsia="宋体" w:cs="Times New Roman"/>
          <w:sz w:val="24"/>
          <w:szCs w:val="24"/>
          <w:u w:val="single"/>
          <w:lang w:val="en-US" w:eastAsia="zh-CN" w:bidi="ar-SA"/>
        </w:rPr>
        <w:t xml:space="preserve">                  </w:t>
      </w:r>
    </w:p>
    <w:p w14:paraId="30E06410">
      <w:pPr>
        <w:widowControl w:val="0"/>
        <w:tabs>
          <w:tab w:val="left" w:pos="6279"/>
        </w:tabs>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u w:val="single"/>
          <w:lang w:val="en-US" w:eastAsia="zh-CN" w:bidi="ar-SA"/>
        </w:rPr>
      </w:pPr>
      <w:r>
        <w:rPr>
          <w:rFonts w:hint="eastAsia" w:ascii="宋体" w:hAnsi="宋体" w:eastAsia="宋体" w:cs="Times New Roman"/>
          <w:sz w:val="24"/>
          <w:szCs w:val="24"/>
          <w:lang w:val="en-US" w:eastAsia="zh-CN" w:bidi="ar-SA"/>
        </w:rPr>
        <w:t xml:space="preserve">账 </w:t>
      </w:r>
      <w:r>
        <w:rPr>
          <w:rFonts w:hint="default" w:ascii="宋体" w:hAnsi="宋体" w:eastAsia="宋体" w:cs="Times New Roman"/>
          <w:sz w:val="24"/>
          <w:szCs w:val="24"/>
          <w:lang w:val="en-US" w:eastAsia="zh-CN" w:bidi="ar-SA"/>
        </w:rPr>
        <w:t xml:space="preserve">     </w:t>
      </w:r>
      <w:r>
        <w:rPr>
          <w:rFonts w:hint="eastAsia" w:ascii="宋体" w:hAnsi="宋体" w:eastAsia="宋体" w:cs="Times New Roman"/>
          <w:sz w:val="24"/>
          <w:szCs w:val="24"/>
          <w:lang w:val="en-US" w:eastAsia="zh-CN" w:bidi="ar-SA"/>
        </w:rPr>
        <w:t>号：</w:t>
      </w:r>
      <w:r>
        <w:rPr>
          <w:rFonts w:hint="eastAsia" w:ascii="宋体" w:hAnsi="宋体" w:eastAsia="宋体" w:cs="Times New Roman"/>
          <w:sz w:val="24"/>
          <w:szCs w:val="24"/>
          <w:u w:val="single"/>
          <w:lang w:val="en-US" w:eastAsia="zh-CN" w:bidi="ar-SA"/>
        </w:rPr>
        <w:t xml:space="preserve"> </w:t>
      </w:r>
      <w:r>
        <w:rPr>
          <w:rFonts w:hint="default" w:ascii="宋体" w:hAnsi="宋体" w:eastAsia="宋体" w:cs="Times New Roman"/>
          <w:sz w:val="24"/>
          <w:szCs w:val="24"/>
          <w:u w:val="single"/>
          <w:lang w:val="en-US" w:eastAsia="zh-CN" w:bidi="ar-SA"/>
        </w:rPr>
        <w:t xml:space="preserve">                  </w:t>
      </w:r>
    </w:p>
    <w:p w14:paraId="23D3372A">
      <w:pPr>
        <w:widowControl w:val="0"/>
        <w:tabs>
          <w:tab w:val="left" w:pos="6279"/>
        </w:tabs>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 xml:space="preserve">开 </w:t>
      </w:r>
      <w:r>
        <w:rPr>
          <w:rFonts w:hint="default" w:ascii="宋体" w:hAnsi="宋体" w:eastAsia="宋体" w:cs="Times New Roman"/>
          <w:sz w:val="24"/>
          <w:szCs w:val="24"/>
          <w:lang w:val="en-US" w:eastAsia="zh-CN" w:bidi="ar-SA"/>
        </w:rPr>
        <w:t xml:space="preserve"> </w:t>
      </w:r>
      <w:r>
        <w:rPr>
          <w:rFonts w:hint="eastAsia" w:ascii="宋体" w:hAnsi="宋体" w:eastAsia="宋体" w:cs="Times New Roman"/>
          <w:sz w:val="24"/>
          <w:szCs w:val="24"/>
          <w:lang w:val="en-US" w:eastAsia="zh-CN" w:bidi="ar-SA"/>
        </w:rPr>
        <w:t xml:space="preserve">户 </w:t>
      </w:r>
      <w:r>
        <w:rPr>
          <w:rFonts w:hint="default" w:ascii="宋体" w:hAnsi="宋体" w:eastAsia="宋体" w:cs="Times New Roman"/>
          <w:sz w:val="24"/>
          <w:szCs w:val="24"/>
          <w:lang w:val="en-US" w:eastAsia="zh-CN" w:bidi="ar-SA"/>
        </w:rPr>
        <w:t xml:space="preserve"> </w:t>
      </w:r>
      <w:r>
        <w:rPr>
          <w:rFonts w:hint="eastAsia" w:ascii="宋体" w:hAnsi="宋体" w:eastAsia="宋体" w:cs="Times New Roman"/>
          <w:sz w:val="24"/>
          <w:szCs w:val="24"/>
          <w:lang w:val="en-US" w:eastAsia="zh-CN" w:bidi="ar-SA"/>
        </w:rPr>
        <w:t>行：</w:t>
      </w:r>
      <w:r>
        <w:rPr>
          <w:rFonts w:hint="eastAsia" w:ascii="宋体" w:hAnsi="宋体" w:eastAsia="宋体" w:cs="Times New Roman"/>
          <w:sz w:val="24"/>
          <w:szCs w:val="24"/>
          <w:u w:val="single"/>
          <w:lang w:val="en-US" w:eastAsia="zh-CN" w:bidi="ar-SA"/>
        </w:rPr>
        <w:t xml:space="preserve"> </w:t>
      </w:r>
      <w:r>
        <w:rPr>
          <w:rFonts w:hint="default" w:ascii="宋体" w:hAnsi="宋体" w:eastAsia="宋体" w:cs="Times New Roman"/>
          <w:sz w:val="24"/>
          <w:szCs w:val="24"/>
          <w:u w:val="single"/>
          <w:lang w:val="en-US" w:eastAsia="zh-CN" w:bidi="ar-SA"/>
        </w:rPr>
        <w:t xml:space="preserve">                  </w:t>
      </w:r>
    </w:p>
    <w:p w14:paraId="4086F31B">
      <w:pPr>
        <w:pStyle w:val="2"/>
        <w:kinsoku w:val="0"/>
        <w:overflowPunct w:val="0"/>
        <w:spacing w:before="0" w:line="360" w:lineRule="auto"/>
        <w:ind w:left="0"/>
        <w:jc w:val="left"/>
        <w:rPr>
          <w:rFonts w:ascii="宋体" w:hAnsi="宋体" w:eastAsia="宋体"/>
          <w:kern w:val="0"/>
        </w:rPr>
      </w:pPr>
      <w:r>
        <w:rPr>
          <w:rFonts w:ascii="宋体" w:hAnsi="宋体" w:eastAsia="宋体"/>
          <w:kern w:val="0"/>
        </w:rPr>
        <w:t>第</w:t>
      </w:r>
      <w:r>
        <w:rPr>
          <w:rFonts w:hint="eastAsia" w:ascii="宋体" w:hAnsi="宋体" w:eastAsia="宋体"/>
          <w:kern w:val="0"/>
        </w:rPr>
        <w:t>七</w:t>
      </w:r>
      <w:r>
        <w:rPr>
          <w:rFonts w:ascii="宋体" w:hAnsi="宋体" w:eastAsia="宋体"/>
          <w:kern w:val="0"/>
        </w:rPr>
        <w:t>条：</w:t>
      </w:r>
      <w:r>
        <w:rPr>
          <w:rFonts w:hint="eastAsia" w:ascii="宋体" w:hAnsi="宋体" w:eastAsia="宋体"/>
          <w:kern w:val="0"/>
        </w:rPr>
        <w:t>产品交付</w:t>
      </w:r>
    </w:p>
    <w:p w14:paraId="075D4E26">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1</w:t>
      </w:r>
      <w:r>
        <w:rPr>
          <w:rFonts w:hint="eastAsia" w:ascii="宋体" w:hAnsi="宋体" w:eastAsia="宋体" w:cs="Times New Roman"/>
          <w:sz w:val="24"/>
          <w:szCs w:val="24"/>
          <w:lang w:val="en-US" w:eastAsia="zh-CN" w:bidi="ar-SA"/>
        </w:rPr>
        <w:t>、合同交付内容：</w:t>
      </w:r>
      <w:r>
        <w:rPr>
          <w:rFonts w:hint="eastAsia" w:ascii="宋体" w:hAnsi="宋体" w:eastAsia="宋体" w:cs="Times New Roman"/>
          <w:sz w:val="24"/>
          <w:szCs w:val="24"/>
          <w:u w:val="single"/>
          <w:lang w:val="en-US" w:eastAsia="zh-CN" w:bidi="ar-SA"/>
        </w:rPr>
        <w:t xml:space="preserve"> </w:t>
      </w:r>
      <w:r>
        <w:rPr>
          <w:rFonts w:hint="default" w:ascii="宋体" w:hAnsi="宋体" w:eastAsia="宋体" w:cs="Times New Roman"/>
          <w:sz w:val="24"/>
          <w:szCs w:val="24"/>
          <w:u w:val="single"/>
          <w:lang w:val="en-US" w:eastAsia="zh-CN" w:bidi="ar-SA"/>
        </w:rPr>
        <w:t xml:space="preserve">                              </w:t>
      </w:r>
    </w:p>
    <w:p w14:paraId="03AA461F">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、产品模块：</w:t>
      </w:r>
      <w:r>
        <w:rPr>
          <w:rFonts w:hint="default" w:ascii="宋体" w:hAnsi="宋体" w:eastAsia="宋体" w:cs="Times New Roman"/>
          <w:sz w:val="24"/>
          <w:szCs w:val="24"/>
          <w:u w:val="single"/>
          <w:lang w:val="en-US" w:eastAsia="zh-CN" w:bidi="ar-SA"/>
        </w:rPr>
        <w:t xml:space="preserve">                                                </w:t>
      </w:r>
      <w:r>
        <w:rPr>
          <w:rFonts w:hint="eastAsia" w:ascii="宋体" w:hAnsi="宋体" w:eastAsia="宋体" w:cs="Times New Roman"/>
          <w:sz w:val="24"/>
          <w:szCs w:val="24"/>
          <w:lang w:val="en-US" w:eastAsia="zh-CN" w:bidi="ar-SA"/>
        </w:rPr>
        <w:t>。</w:t>
      </w:r>
    </w:p>
    <w:p w14:paraId="7F789F7D">
      <w:pPr>
        <w:widowControl w:val="0"/>
        <w:kinsoku w:val="0"/>
        <w:overflowPunct w:val="0"/>
        <w:autoSpaceDE w:val="0"/>
        <w:autoSpaceDN w:val="0"/>
        <w:adjustRightInd w:val="0"/>
        <w:spacing w:line="360" w:lineRule="auto"/>
        <w:ind w:firstLine="480" w:firstLineChars="200"/>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3、乙方于</w:t>
      </w:r>
      <w:r>
        <w:rPr>
          <w:rFonts w:hint="default" w:ascii="宋体" w:hAnsi="宋体" w:eastAsia="宋体" w:cs="Times New Roman"/>
          <w:sz w:val="24"/>
          <w:szCs w:val="24"/>
          <w:u w:val="single"/>
          <w:lang w:val="en-US" w:eastAsia="zh-CN" w:bidi="ar-SA"/>
        </w:rPr>
        <w:t xml:space="preserve">            </w:t>
      </w:r>
      <w:r>
        <w:rPr>
          <w:rFonts w:hint="eastAsia" w:ascii="宋体" w:hAnsi="宋体" w:eastAsia="宋体" w:cs="Times New Roman"/>
          <w:sz w:val="24"/>
          <w:szCs w:val="24"/>
          <w:lang w:val="en-US" w:eastAsia="zh-CN" w:bidi="ar-SA"/>
        </w:rPr>
        <w:t>前完成系统的安装及调试，经安装调试并测试合格后，视为完成交付。</w:t>
      </w:r>
    </w:p>
    <w:p w14:paraId="5D703DAC">
      <w:pPr>
        <w:pStyle w:val="2"/>
        <w:kinsoku w:val="0"/>
        <w:overflowPunct w:val="0"/>
        <w:spacing w:before="0" w:line="360" w:lineRule="auto"/>
        <w:ind w:left="0"/>
        <w:jc w:val="left"/>
        <w:rPr>
          <w:rFonts w:ascii="宋体" w:hAnsi="宋体" w:eastAsia="宋体"/>
          <w:kern w:val="0"/>
        </w:rPr>
      </w:pPr>
      <w:r>
        <w:rPr>
          <w:rFonts w:ascii="宋体" w:hAnsi="宋体" w:eastAsia="宋体"/>
          <w:kern w:val="0"/>
        </w:rPr>
        <w:t>第九条：</w:t>
      </w:r>
      <w:r>
        <w:rPr>
          <w:rFonts w:hint="eastAsia" w:ascii="宋体" w:hAnsi="宋体" w:eastAsia="宋体"/>
          <w:kern w:val="0"/>
        </w:rPr>
        <w:t>验收及</w:t>
      </w:r>
      <w:r>
        <w:rPr>
          <w:rFonts w:ascii="宋体" w:hAnsi="宋体" w:eastAsia="宋体"/>
          <w:kern w:val="0"/>
        </w:rPr>
        <w:t>质量保证</w:t>
      </w:r>
    </w:p>
    <w:p w14:paraId="7BBA363E">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1</w:t>
      </w:r>
      <w:r>
        <w:rPr>
          <w:rFonts w:hint="eastAsia" w:ascii="宋体" w:hAnsi="宋体" w:eastAsia="宋体" w:cs="Times New Roman"/>
          <w:sz w:val="24"/>
          <w:szCs w:val="24"/>
          <w:lang w:val="en-US" w:eastAsia="zh-CN" w:bidi="ar-SA"/>
        </w:rPr>
        <w:t>、乙方产品质量应当符合国家行业规定的标准，无任何瑕疵；乙方应按配置清单要求提供原装全新产品，对该产品实行三包（即包修、包退、包换）。</w:t>
      </w:r>
    </w:p>
    <w:p w14:paraId="281F5FCC">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、如交付品种、</w:t>
      </w:r>
      <w:r>
        <w:rPr>
          <w:rFonts w:hint="eastAsia" w:ascii="宋体" w:hAnsi="宋体" w:eastAsia="宋体" w:cs="Times New Roman"/>
          <w:sz w:val="24"/>
          <w:szCs w:val="24"/>
          <w:lang w:val="en-US" w:eastAsia="zh-CN" w:bidi="ar-SA"/>
        </w:rPr>
        <w:fldChar w:fldCharType="begin"/>
      </w:r>
      <w:r>
        <w:rPr>
          <w:rFonts w:hint="eastAsia" w:ascii="宋体" w:hAnsi="宋体" w:eastAsia="宋体" w:cs="Times New Roman"/>
          <w:sz w:val="24"/>
          <w:szCs w:val="24"/>
          <w:lang w:val="en-US" w:eastAsia="zh-CN" w:bidi="ar-SA"/>
        </w:rPr>
        <w:instrText xml:space="preserve"> HYPERLINK "http://www.hudong.com/wiki/%E5%9E%8B%E5%8F%B7" </w:instrText>
      </w:r>
      <w:r>
        <w:rPr>
          <w:rFonts w:hint="eastAsia" w:ascii="宋体" w:hAnsi="宋体" w:eastAsia="宋体" w:cs="Times New Roman"/>
          <w:sz w:val="24"/>
          <w:szCs w:val="24"/>
          <w:lang w:val="en-US" w:eastAsia="zh-CN" w:bidi="ar-SA"/>
        </w:rPr>
        <w:fldChar w:fldCharType="separate"/>
      </w:r>
      <w:r>
        <w:rPr>
          <w:rFonts w:hint="eastAsia" w:ascii="宋体" w:hAnsi="宋体" w:eastAsia="宋体" w:cs="Times New Roman"/>
          <w:sz w:val="24"/>
          <w:szCs w:val="24"/>
          <w:lang w:val="en-US" w:eastAsia="zh-CN" w:bidi="ar-SA"/>
        </w:rPr>
        <w:t>型号</w:t>
      </w:r>
      <w:r>
        <w:rPr>
          <w:rFonts w:hint="eastAsia" w:ascii="宋体" w:hAnsi="宋体" w:eastAsia="宋体" w:cs="Times New Roman"/>
          <w:sz w:val="24"/>
          <w:szCs w:val="24"/>
          <w:lang w:val="en-US" w:eastAsia="zh-CN" w:bidi="ar-SA"/>
        </w:rPr>
        <w:fldChar w:fldCharType="end"/>
      </w:r>
      <w:r>
        <w:rPr>
          <w:rFonts w:hint="eastAsia" w:ascii="宋体" w:hAnsi="宋体" w:eastAsia="宋体" w:cs="Times New Roman"/>
          <w:sz w:val="24"/>
          <w:szCs w:val="24"/>
          <w:lang w:val="en-US" w:eastAsia="zh-CN" w:bidi="ar-SA"/>
        </w:rPr>
        <w:t>、</w:t>
      </w:r>
      <w:r>
        <w:rPr>
          <w:rFonts w:hint="eastAsia" w:ascii="宋体" w:hAnsi="宋体" w:eastAsia="宋体" w:cs="Times New Roman"/>
          <w:sz w:val="24"/>
          <w:szCs w:val="24"/>
          <w:lang w:val="en-US" w:eastAsia="zh-CN" w:bidi="ar-SA"/>
        </w:rPr>
        <w:fldChar w:fldCharType="begin"/>
      </w:r>
      <w:r>
        <w:rPr>
          <w:rFonts w:hint="eastAsia" w:ascii="宋体" w:hAnsi="宋体" w:eastAsia="宋体" w:cs="Times New Roman"/>
          <w:sz w:val="24"/>
          <w:szCs w:val="24"/>
          <w:lang w:val="en-US" w:eastAsia="zh-CN" w:bidi="ar-SA"/>
        </w:rPr>
        <w:instrText xml:space="preserve"> HYPERLINK "http://www.hudong.com/wiki/%E8%A7%84%E6%A0%BC" </w:instrText>
      </w:r>
      <w:r>
        <w:rPr>
          <w:rFonts w:hint="eastAsia" w:ascii="宋体" w:hAnsi="宋体" w:eastAsia="宋体" w:cs="Times New Roman"/>
          <w:sz w:val="24"/>
          <w:szCs w:val="24"/>
          <w:lang w:val="en-US" w:eastAsia="zh-CN" w:bidi="ar-SA"/>
        </w:rPr>
        <w:fldChar w:fldCharType="separate"/>
      </w:r>
      <w:r>
        <w:rPr>
          <w:rFonts w:hint="eastAsia" w:ascii="宋体" w:hAnsi="宋体" w:eastAsia="宋体" w:cs="Times New Roman"/>
          <w:sz w:val="24"/>
          <w:szCs w:val="24"/>
          <w:lang w:val="en-US" w:eastAsia="zh-CN" w:bidi="ar-SA"/>
        </w:rPr>
        <w:t>规格不符合同约定的</w:t>
      </w:r>
      <w:r>
        <w:rPr>
          <w:rFonts w:hint="eastAsia" w:ascii="宋体" w:hAnsi="宋体" w:eastAsia="宋体" w:cs="Times New Roman"/>
          <w:sz w:val="24"/>
          <w:szCs w:val="24"/>
          <w:lang w:val="en-US" w:eastAsia="zh-CN" w:bidi="ar-SA"/>
        </w:rPr>
        <w:fldChar w:fldCharType="end"/>
      </w:r>
      <w:r>
        <w:rPr>
          <w:rFonts w:hint="eastAsia" w:ascii="宋体" w:hAnsi="宋体" w:eastAsia="宋体" w:cs="Times New Roman"/>
          <w:sz w:val="24"/>
          <w:szCs w:val="24"/>
          <w:lang w:val="en-US" w:eastAsia="zh-CN" w:bidi="ar-SA"/>
        </w:rPr>
        <w:t>，由乙方负责退换并重新安装调试，由此产生的一切费用及给甲方造成的相关损失由乙方全部承担并赔偿相应损失，合同交付期不予延长。</w:t>
      </w:r>
    </w:p>
    <w:p w14:paraId="414206F8">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3</w:t>
      </w:r>
      <w:r>
        <w:rPr>
          <w:rFonts w:hint="eastAsia" w:ascii="宋体" w:hAnsi="宋体" w:eastAsia="宋体" w:cs="Times New Roman"/>
          <w:sz w:val="24"/>
          <w:szCs w:val="24"/>
          <w:lang w:val="en-US" w:eastAsia="zh-CN" w:bidi="ar-SA"/>
        </w:rPr>
        <w:t>、如不能修理或者不能调换的，按不能交货处理，因此给甲方造成的所有经济损失乙方应予全额赔偿。</w:t>
      </w:r>
    </w:p>
    <w:p w14:paraId="23832745">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4、本项目服务期内，乙方保证安装后的系统不能与甲方的信息安全防御体系有任何冲突（包括甲方要求打上的程序补丁以及安装的任何设备），如发生冲突，乙方必须负责完全解决，以适应甲方的信息安全防御体系，保证系统的正常使用。</w:t>
      </w:r>
    </w:p>
    <w:p w14:paraId="0363483B">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5、乙方不得利用其提供的软件产品非法获取甲方用户系统中的信息、用户设备中的信息，以及做其他任何损害甲方对于自身信息及系统中信息的支配权的行为；不得利用其提供软件产品的便利条件非法控制、非法操纵甲方用户系统、用户设备，以及做其他任何损害甲方用户对于其系统和设备支配权的行为；不得进行其他利用其提供的软件产品损害甲方及其员工或其他产品使用人的合法权利的行为。</w:t>
      </w:r>
    </w:p>
    <w:p w14:paraId="27CC48D8">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6、乙方承诺该软件为自主研发产品，乙方对此产品拥有软件著作权，乙方有权许可本合同标的物且不侵犯任何第三方知识产权及其它合法权益，如因乙方原因出现与软件有关的第三方指控或知识侵权的事件，应由乙方承担赔偿责任并保证甲方的利益不受任何损失，若甲方因此遭受索赔的，乙方应赔偿甲方全部损失。</w:t>
      </w:r>
    </w:p>
    <w:p w14:paraId="57961398">
      <w:pPr>
        <w:pStyle w:val="2"/>
        <w:kinsoku w:val="0"/>
        <w:overflowPunct w:val="0"/>
        <w:spacing w:before="0" w:line="360" w:lineRule="auto"/>
        <w:ind w:left="0"/>
        <w:jc w:val="left"/>
        <w:rPr>
          <w:rFonts w:ascii="宋体" w:hAnsi="宋体" w:eastAsia="宋体"/>
          <w:kern w:val="0"/>
        </w:rPr>
      </w:pPr>
      <w:r>
        <w:rPr>
          <w:rFonts w:ascii="宋体" w:hAnsi="宋体" w:eastAsia="宋体"/>
          <w:kern w:val="0"/>
        </w:rPr>
        <w:t>第十条：售后服务</w:t>
      </w:r>
    </w:p>
    <w:p w14:paraId="3C76A07E">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1</w:t>
      </w:r>
      <w:r>
        <w:rPr>
          <w:rFonts w:hint="eastAsia" w:ascii="宋体" w:hAnsi="宋体" w:eastAsia="宋体" w:cs="Times New Roman"/>
          <w:sz w:val="24"/>
          <w:szCs w:val="24"/>
          <w:lang w:val="en-US" w:eastAsia="zh-CN" w:bidi="ar-SA"/>
        </w:rPr>
        <w:t>、乙方必须具有完善的售后服务体系，高水平的技术维修人员和良好的设备备件供应能力。</w:t>
      </w:r>
    </w:p>
    <w:p w14:paraId="5A6E9642">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、乙方同意该产品自安装、调试、验收合格并正常使用之日起免费保修，质保期为</w:t>
      </w:r>
      <w:r>
        <w:rPr>
          <w:rFonts w:hint="default" w:ascii="宋体" w:hAnsi="宋体" w:eastAsia="宋体" w:cs="Times New Roman"/>
          <w:sz w:val="24"/>
          <w:szCs w:val="24"/>
          <w:u w:val="single"/>
          <w:lang w:val="en-US" w:eastAsia="zh-CN" w:bidi="ar-SA"/>
        </w:rPr>
        <w:t>1</w:t>
      </w:r>
      <w:r>
        <w:rPr>
          <w:rFonts w:hint="eastAsia" w:ascii="宋体" w:hAnsi="宋体" w:eastAsia="宋体" w:cs="Times New Roman"/>
          <w:sz w:val="24"/>
          <w:szCs w:val="24"/>
          <w:lang w:val="en-US" w:eastAsia="zh-CN" w:bidi="ar-SA"/>
        </w:rPr>
        <w:t>年，在保修、质保期内出现的任何质量问题，乙方保证在接到甲方维修通知之日起24小时内派专业维修人员赶赴甲方指定地点完成维修。</w:t>
      </w:r>
    </w:p>
    <w:p w14:paraId="5C2F6583">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3、整体系统验收合格后质保1年。乙方所承诺的服务内容应包括：乙方的服务响应及维修等承诺，详细说明服务能力、服务时间、人员配备、系统故障响应、诊断、应急处理、维修和相应的设备更换计划等；乙方的技术支持和相应软件的升级承诺等。在系统的质保期内，乙方应确保系统的正常使用。在接到用户服务要求后应立即做出回应，并在承诺的服务时间内实施服务。乙方提供7×24小时的免费上门保修服务，半小时内响应，4小时内到达现场，24小时内解决故障。提供热线电话服务，提供技术咨询、故障诊断、故障排除、以及现场支持等具体的技术支持工作，并对甲方投诉做出相应处理。</w:t>
      </w:r>
      <w:r>
        <w:rPr>
          <w:rFonts w:hint="eastAsia" w:ascii="宋体" w:hAnsi="宋体" w:eastAsia="宋体" w:cs="Times New Roman"/>
          <w:color w:val="000000"/>
          <w:sz w:val="24"/>
          <w:szCs w:val="24"/>
          <w:lang w:val="en-US" w:eastAsia="zh-CN" w:bidi="ar-SA"/>
        </w:rPr>
        <w:t>每【</w:t>
      </w:r>
      <w:r>
        <w:rPr>
          <w:rFonts w:hint="default" w:ascii="宋体" w:hAnsi="宋体" w:eastAsia="宋体" w:cs="Times New Roman"/>
          <w:color w:val="000000"/>
          <w:sz w:val="24"/>
          <w:szCs w:val="24"/>
          <w:u w:val="single"/>
          <w:lang w:val="en-US" w:eastAsia="zh-CN" w:bidi="ar-SA"/>
        </w:rPr>
        <w:t xml:space="preserve">  </w:t>
      </w:r>
      <w:r>
        <w:rPr>
          <w:rFonts w:hint="eastAsia" w:ascii="宋体" w:hAnsi="宋体" w:eastAsia="宋体" w:cs="Times New Roman"/>
          <w:color w:val="000000"/>
          <w:sz w:val="24"/>
          <w:szCs w:val="24"/>
          <w:lang w:val="en-US" w:eastAsia="zh-CN" w:bidi="ar-SA"/>
        </w:rPr>
        <w:t>】个季度巡检一次。</w:t>
      </w:r>
      <w:r>
        <w:rPr>
          <w:rFonts w:hint="eastAsia" w:ascii="宋体" w:hAnsi="宋体" w:eastAsia="宋体" w:cs="Times New Roman"/>
          <w:sz w:val="24"/>
          <w:szCs w:val="24"/>
          <w:lang w:val="en-US" w:eastAsia="zh-CN" w:bidi="ar-SA"/>
        </w:rPr>
        <w:t>及调优系统，通过定期的技术检查，可及时排除故障隐患，以免问题发生后影响业务运作，并且及时调优系统性能，使系统始终处于高效率运行状态。</w:t>
      </w:r>
    </w:p>
    <w:p w14:paraId="7A3DF402">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乙方未在约定时间内响应或排除故障使系统恢复运行的，每逾期【</w:t>
      </w:r>
      <w:r>
        <w:rPr>
          <w:rFonts w:hint="default" w:ascii="宋体" w:hAnsi="宋体" w:eastAsia="宋体" w:cs="Times New Roman"/>
          <w:color w:val="000000"/>
          <w:sz w:val="24"/>
          <w:szCs w:val="24"/>
          <w:u w:val="single"/>
          <w:lang w:val="en-US" w:eastAsia="zh-CN" w:bidi="ar-SA"/>
        </w:rPr>
        <w:t xml:space="preserve">  </w:t>
      </w:r>
      <w:r>
        <w:rPr>
          <w:rFonts w:hint="eastAsia" w:ascii="宋体" w:hAnsi="宋体" w:eastAsia="宋体" w:cs="Times New Roman"/>
          <w:sz w:val="24"/>
          <w:szCs w:val="24"/>
          <w:lang w:val="en-US" w:eastAsia="zh-CN" w:bidi="ar-SA"/>
        </w:rPr>
        <w:t>】小时乙方应支付合同总金额万分之一的违约金；超过【</w:t>
      </w:r>
      <w:r>
        <w:rPr>
          <w:rFonts w:hint="default" w:ascii="宋体" w:hAnsi="宋体" w:eastAsia="宋体" w:cs="Times New Roman"/>
          <w:color w:val="000000"/>
          <w:sz w:val="24"/>
          <w:szCs w:val="24"/>
          <w:u w:val="single"/>
          <w:lang w:val="en-US" w:eastAsia="zh-CN" w:bidi="ar-SA"/>
        </w:rPr>
        <w:t xml:space="preserve">  </w:t>
      </w:r>
      <w:r>
        <w:rPr>
          <w:rFonts w:hint="eastAsia" w:ascii="宋体" w:hAnsi="宋体" w:eastAsia="宋体" w:cs="Times New Roman"/>
          <w:sz w:val="24"/>
          <w:szCs w:val="24"/>
          <w:lang w:val="en-US" w:eastAsia="zh-CN" w:bidi="ar-SA"/>
        </w:rPr>
        <w:t>】小时未响应或超过</w:t>
      </w:r>
    </w:p>
    <w:p w14:paraId="1AB5EC94">
      <w:pPr>
        <w:widowControl w:val="0"/>
        <w:kinsoku w:val="0"/>
        <w:overflowPunct w:val="0"/>
        <w:autoSpaceDE w:val="0"/>
        <w:autoSpaceDN w:val="0"/>
        <w:adjustRightInd w:val="0"/>
        <w:spacing w:line="360" w:lineRule="auto"/>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w:t>
      </w:r>
      <w:r>
        <w:rPr>
          <w:rFonts w:hint="default" w:ascii="宋体" w:hAnsi="宋体" w:eastAsia="宋体" w:cs="Times New Roman"/>
          <w:color w:val="000000"/>
          <w:sz w:val="24"/>
          <w:szCs w:val="24"/>
          <w:u w:val="single"/>
          <w:lang w:val="en-US" w:eastAsia="zh-CN" w:bidi="ar-SA"/>
        </w:rPr>
        <w:t xml:space="preserve">  </w:t>
      </w:r>
      <w:r>
        <w:rPr>
          <w:rFonts w:hint="eastAsia" w:ascii="宋体" w:hAnsi="宋体" w:eastAsia="宋体" w:cs="Times New Roman"/>
          <w:sz w:val="24"/>
          <w:szCs w:val="24"/>
          <w:lang w:val="en-US" w:eastAsia="zh-CN" w:bidi="ar-SA"/>
        </w:rPr>
        <w:t>】小时未完成维修服务、排除故障使系统正常运行的，视为乙方根本违约，甲方有权单方解除合同，并要求乙方支付合同总金额5%的违约金，违约金不足以弥补损失的，由乙方另行支付。</w:t>
      </w:r>
    </w:p>
    <w:p w14:paraId="78B1E617">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4</w:t>
      </w:r>
      <w:r>
        <w:rPr>
          <w:rFonts w:hint="eastAsia" w:ascii="宋体" w:hAnsi="宋体" w:eastAsia="宋体" w:cs="Times New Roman"/>
          <w:sz w:val="24"/>
          <w:szCs w:val="24"/>
          <w:lang w:val="en-US" w:eastAsia="zh-CN" w:bidi="ar-SA"/>
        </w:rPr>
        <w:t>、保修、质保期内，维修费用、乙方维修人员的差旅费及其他一切相关费用均由乙方自行承担。</w:t>
      </w:r>
    </w:p>
    <w:p w14:paraId="34C4178D">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5</w:t>
      </w:r>
      <w:r>
        <w:rPr>
          <w:rFonts w:hint="eastAsia" w:ascii="宋体" w:hAnsi="宋体" w:eastAsia="宋体" w:cs="Times New Roman"/>
          <w:sz w:val="24"/>
          <w:szCs w:val="24"/>
          <w:lang w:val="en-US" w:eastAsia="zh-CN" w:bidi="ar-SA"/>
        </w:rPr>
        <w:t>、保修、质保期满后，乙方负责终身优质服务，若甲方有持续的运营维护需求，乙方每年按本合同总金额的8</w:t>
      </w:r>
      <w:r>
        <w:rPr>
          <w:rFonts w:hint="default" w:ascii="宋体" w:hAnsi="宋体" w:eastAsia="宋体" w:cs="Times New Roman"/>
          <w:sz w:val="24"/>
          <w:szCs w:val="24"/>
          <w:lang w:val="en-US" w:eastAsia="zh-CN" w:bidi="ar-SA"/>
        </w:rPr>
        <w:t>%</w:t>
      </w:r>
      <w:r>
        <w:rPr>
          <w:rFonts w:hint="eastAsia" w:ascii="宋体" w:hAnsi="宋体" w:eastAsia="宋体" w:cs="Times New Roman"/>
          <w:sz w:val="24"/>
          <w:szCs w:val="24"/>
          <w:lang w:val="en-US" w:eastAsia="zh-CN" w:bidi="ar-SA"/>
        </w:rPr>
        <w:t>收取维保费用，包含人工费、差旅费及工时费等。</w:t>
      </w:r>
    </w:p>
    <w:p w14:paraId="6E74C62C">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6</w:t>
      </w:r>
      <w:r>
        <w:rPr>
          <w:rFonts w:hint="eastAsia" w:ascii="宋体" w:hAnsi="宋体" w:eastAsia="宋体" w:cs="Times New Roman"/>
          <w:sz w:val="24"/>
          <w:szCs w:val="24"/>
          <w:lang w:val="en-US" w:eastAsia="zh-CN" w:bidi="ar-SA"/>
        </w:rPr>
        <w:t>、乙方负责系统错误改进，在保修、质保期内对该型号的软件免费升级。</w:t>
      </w:r>
    </w:p>
    <w:p w14:paraId="6759A174">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7</w:t>
      </w:r>
      <w:r>
        <w:rPr>
          <w:rFonts w:hint="eastAsia" w:ascii="宋体" w:hAnsi="宋体" w:eastAsia="宋体" w:cs="Times New Roman"/>
          <w:sz w:val="24"/>
          <w:szCs w:val="24"/>
          <w:lang w:val="en-US" w:eastAsia="zh-CN" w:bidi="ar-SA"/>
        </w:rPr>
        <w:t>、如以后该产品升级换代，乙方愿意以优惠价格向甲方提供。</w:t>
      </w:r>
    </w:p>
    <w:p w14:paraId="629C643A">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8</w:t>
      </w:r>
      <w:r>
        <w:rPr>
          <w:rFonts w:hint="eastAsia" w:ascii="宋体" w:hAnsi="宋体" w:eastAsia="宋体" w:cs="Times New Roman"/>
          <w:sz w:val="24"/>
          <w:szCs w:val="24"/>
          <w:lang w:val="en-US" w:eastAsia="zh-CN" w:bidi="ar-SA"/>
        </w:rPr>
        <w:t>、如因产品本身的隐蔽瑕疵而出现的质量问题，乙方应全面负责维修调试或更新更换并承担全部费用。</w:t>
      </w:r>
    </w:p>
    <w:p w14:paraId="036421FF">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9</w:t>
      </w:r>
      <w:r>
        <w:rPr>
          <w:rFonts w:hint="eastAsia" w:ascii="宋体" w:hAnsi="宋体" w:eastAsia="宋体" w:cs="Times New Roman"/>
          <w:sz w:val="24"/>
          <w:szCs w:val="24"/>
          <w:lang w:val="en-US" w:eastAsia="zh-CN" w:bidi="ar-SA"/>
        </w:rPr>
        <w:t>、乙方必须严格依据合同约定及投标文件中的售后服务承诺履行售后服务义务。</w:t>
      </w:r>
    </w:p>
    <w:p w14:paraId="7F533A08">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10、保修、质保期内</w:t>
      </w:r>
      <w:r>
        <w:rPr>
          <w:rFonts w:hint="default" w:ascii="宋体" w:hAnsi="宋体" w:eastAsia="宋体" w:cs="Times New Roman"/>
          <w:sz w:val="24"/>
          <w:szCs w:val="24"/>
          <w:lang w:val="en-US" w:eastAsia="zh-CN" w:bidi="ar-SA"/>
        </w:rPr>
        <w:t>，因乙方原因导致其提供的软件系统无法正常工作累计【</w:t>
      </w:r>
      <w:r>
        <w:rPr>
          <w:rFonts w:hint="default" w:ascii="宋体" w:hAnsi="宋体" w:eastAsia="宋体" w:cs="Times New Roman"/>
          <w:color w:val="000000"/>
          <w:sz w:val="24"/>
          <w:szCs w:val="24"/>
          <w:u w:val="single"/>
          <w:lang w:val="en-US" w:eastAsia="zh-CN" w:bidi="ar-SA"/>
        </w:rPr>
        <w:t xml:space="preserve">  </w:t>
      </w:r>
      <w:r>
        <w:rPr>
          <w:rFonts w:hint="default" w:ascii="宋体" w:hAnsi="宋体" w:eastAsia="宋体" w:cs="Times New Roman"/>
          <w:sz w:val="24"/>
          <w:szCs w:val="24"/>
          <w:lang w:val="en-US" w:eastAsia="zh-CN" w:bidi="ar-SA"/>
        </w:rPr>
        <w:t>】</w:t>
      </w:r>
      <w:r>
        <w:rPr>
          <w:rFonts w:hint="eastAsia" w:ascii="宋体" w:hAnsi="宋体" w:eastAsia="宋体" w:cs="Times New Roman"/>
          <w:sz w:val="24"/>
          <w:szCs w:val="24"/>
          <w:lang w:val="en-US" w:eastAsia="zh-CN" w:bidi="ar-SA"/>
        </w:rPr>
        <w:t>小时</w:t>
      </w:r>
      <w:r>
        <w:rPr>
          <w:rFonts w:hint="default" w:ascii="宋体" w:hAnsi="宋体" w:eastAsia="宋体" w:cs="Times New Roman"/>
          <w:sz w:val="24"/>
          <w:szCs w:val="24"/>
          <w:lang w:val="en-US" w:eastAsia="zh-CN" w:bidi="ar-SA"/>
        </w:rPr>
        <w:t>或经乙方维护【</w:t>
      </w:r>
      <w:r>
        <w:rPr>
          <w:rFonts w:hint="default" w:ascii="宋体" w:hAnsi="宋体" w:eastAsia="宋体" w:cs="Times New Roman"/>
          <w:color w:val="000000"/>
          <w:sz w:val="24"/>
          <w:szCs w:val="24"/>
          <w:u w:val="single"/>
          <w:lang w:val="en-US" w:eastAsia="zh-CN" w:bidi="ar-SA"/>
        </w:rPr>
        <w:t xml:space="preserve">  </w:t>
      </w:r>
      <w:r>
        <w:rPr>
          <w:rFonts w:hint="default" w:ascii="宋体" w:hAnsi="宋体" w:eastAsia="宋体" w:cs="Times New Roman"/>
          <w:sz w:val="24"/>
          <w:szCs w:val="24"/>
          <w:lang w:val="en-US" w:eastAsia="zh-CN" w:bidi="ar-SA"/>
        </w:rPr>
        <w:t>】次后仍不能正常的，</w:t>
      </w:r>
      <w:r>
        <w:rPr>
          <w:rFonts w:hint="eastAsia" w:ascii="宋体" w:hAnsi="宋体" w:eastAsia="宋体" w:cs="Times New Roman"/>
          <w:sz w:val="24"/>
          <w:szCs w:val="24"/>
          <w:lang w:val="en-US" w:eastAsia="zh-CN" w:bidi="ar-SA"/>
        </w:rPr>
        <w:t>视为乙方根本违约，甲方有权委托第三方进行维护，所产生的相关费用由乙方承担，同时乙方应向甲方支付合同总金额5%的违约金，违约金不足以弥补损失的，由乙方另行支付。</w:t>
      </w:r>
    </w:p>
    <w:p w14:paraId="2220F0B5">
      <w:pPr>
        <w:pStyle w:val="2"/>
        <w:kinsoku w:val="0"/>
        <w:overflowPunct w:val="0"/>
        <w:spacing w:before="0" w:line="360" w:lineRule="auto"/>
        <w:ind w:left="0"/>
        <w:jc w:val="left"/>
        <w:rPr>
          <w:rFonts w:ascii="宋体" w:hAnsi="宋体" w:eastAsia="宋体"/>
          <w:kern w:val="0"/>
        </w:rPr>
      </w:pPr>
      <w:r>
        <w:rPr>
          <w:rFonts w:ascii="宋体" w:hAnsi="宋体" w:eastAsia="宋体"/>
          <w:kern w:val="0"/>
        </w:rPr>
        <w:t>第十一条：技术服务</w:t>
      </w:r>
    </w:p>
    <w:p w14:paraId="6BA50C9D">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1</w:t>
      </w:r>
      <w:r>
        <w:rPr>
          <w:rFonts w:hint="eastAsia" w:ascii="宋体" w:hAnsi="宋体" w:eastAsia="宋体" w:cs="Times New Roman"/>
          <w:sz w:val="24"/>
          <w:szCs w:val="24"/>
          <w:lang w:val="en-US" w:eastAsia="zh-CN" w:bidi="ar-SA"/>
        </w:rPr>
        <w:t>、乙方必须在交货时向甲方提供产品详细的中文技术资料</w:t>
      </w:r>
      <w:r>
        <w:rPr>
          <w:rFonts w:hint="default" w:ascii="宋体" w:hAnsi="宋体" w:eastAsia="宋体" w:cs="Times New Roman"/>
          <w:sz w:val="24"/>
          <w:szCs w:val="24"/>
          <w:lang w:val="en-US" w:eastAsia="zh-CN" w:bidi="ar-SA"/>
        </w:rPr>
        <w:t>1</w:t>
      </w:r>
      <w:r>
        <w:rPr>
          <w:rFonts w:hint="eastAsia" w:ascii="宋体" w:hAnsi="宋体" w:eastAsia="宋体" w:cs="Times New Roman"/>
          <w:sz w:val="24"/>
          <w:szCs w:val="24"/>
          <w:lang w:val="en-US" w:eastAsia="zh-CN" w:bidi="ar-SA"/>
        </w:rPr>
        <w:t>套、中文技术操作手册、中文维修手册、中文保养手册、产品合格证、中文产品使用说明书等相关材料。</w:t>
      </w:r>
    </w:p>
    <w:p w14:paraId="0D9DBF1A">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、乙方应当负责对甲方的工作人员进行操作培训，使操作人员能够独立、熟练操作直至该产品可以正常使用为止。</w:t>
      </w:r>
    </w:p>
    <w:p w14:paraId="64272F4B">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3</w:t>
      </w:r>
      <w:r>
        <w:rPr>
          <w:rFonts w:hint="eastAsia" w:ascii="宋体" w:hAnsi="宋体" w:eastAsia="宋体" w:cs="Times New Roman"/>
          <w:sz w:val="24"/>
          <w:szCs w:val="24"/>
          <w:lang w:val="en-US" w:eastAsia="zh-CN" w:bidi="ar-SA"/>
        </w:rPr>
        <w:t>、乙方应当负责该产品的调试、安装到位，保证正常使用，全部费用由乙方承担。</w:t>
      </w:r>
    </w:p>
    <w:p w14:paraId="39DA5065">
      <w:pPr>
        <w:pStyle w:val="2"/>
        <w:kinsoku w:val="0"/>
        <w:overflowPunct w:val="0"/>
        <w:spacing w:before="0" w:line="360" w:lineRule="auto"/>
        <w:ind w:left="0"/>
        <w:jc w:val="left"/>
        <w:rPr>
          <w:rFonts w:ascii="宋体" w:hAnsi="宋体" w:eastAsia="宋体"/>
          <w:kern w:val="0"/>
        </w:rPr>
      </w:pPr>
      <w:r>
        <w:rPr>
          <w:rFonts w:ascii="宋体" w:hAnsi="宋体" w:eastAsia="宋体"/>
          <w:kern w:val="0"/>
        </w:rPr>
        <w:t>第十二条：产品的验收</w:t>
      </w:r>
    </w:p>
    <w:p w14:paraId="0D3E4154">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1</w:t>
      </w:r>
      <w:r>
        <w:rPr>
          <w:rFonts w:hint="eastAsia" w:ascii="宋体" w:hAnsi="宋体" w:eastAsia="宋体" w:cs="Times New Roman"/>
          <w:sz w:val="24"/>
          <w:szCs w:val="24"/>
          <w:lang w:val="en-US" w:eastAsia="zh-CN" w:bidi="ar-SA"/>
        </w:rPr>
        <w:t>、甲方必须在乙方提出书面验收申请之日起</w:t>
      </w: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个工作日内组织验收工作。验收由甲方指定单位及人员进行验收，验收合格后出具书面验收合格证明，作为对产品的最终认可。</w:t>
      </w:r>
    </w:p>
    <w:p w14:paraId="3F925B3F">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、验收依据：单证齐全，应有产品合格证、质量证明、使用说明、保修保质证明、发票和其他应当具有的单证，并符合国家法律、法规对该产品规定的国家标准的要求。</w:t>
      </w:r>
    </w:p>
    <w:p w14:paraId="473C8A09">
      <w:pPr>
        <w:pStyle w:val="2"/>
        <w:kinsoku w:val="0"/>
        <w:overflowPunct w:val="0"/>
        <w:spacing w:before="0" w:line="360" w:lineRule="auto"/>
        <w:ind w:left="0"/>
        <w:jc w:val="left"/>
        <w:rPr>
          <w:rFonts w:ascii="宋体" w:hAnsi="宋体" w:eastAsia="宋体"/>
          <w:kern w:val="0"/>
        </w:rPr>
      </w:pPr>
      <w:r>
        <w:rPr>
          <w:rFonts w:ascii="宋体" w:hAnsi="宋体" w:eastAsia="宋体"/>
          <w:kern w:val="0"/>
        </w:rPr>
        <w:t>第十三条：违约责任</w:t>
      </w:r>
    </w:p>
    <w:p w14:paraId="4CF2581D">
      <w:pPr>
        <w:widowControl w:val="0"/>
        <w:numPr>
          <w:ilvl w:val="0"/>
          <w:numId w:val="1"/>
        </w:numPr>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乙方如不能按合同约定时间交货或未按照本合同约定及时安装、调试完毕，每逾期一日，应向甲方支付合同总价款万分之一的违约金，逾期超过【</w:t>
      </w:r>
      <w:r>
        <w:rPr>
          <w:rFonts w:hint="default" w:ascii="宋体" w:hAnsi="宋体" w:eastAsia="宋体" w:cs="Times New Roman"/>
          <w:color w:val="000000"/>
          <w:sz w:val="24"/>
          <w:szCs w:val="24"/>
          <w:u w:val="single"/>
          <w:lang w:val="en-US" w:eastAsia="zh-CN" w:bidi="ar-SA"/>
        </w:rPr>
        <w:t xml:space="preserve">  </w:t>
      </w:r>
      <w:r>
        <w:rPr>
          <w:rFonts w:hint="eastAsia" w:ascii="宋体" w:hAnsi="宋体" w:eastAsia="宋体" w:cs="Times New Roman"/>
          <w:sz w:val="24"/>
          <w:szCs w:val="24"/>
          <w:lang w:val="en-US" w:eastAsia="zh-CN" w:bidi="ar-SA"/>
        </w:rPr>
        <w:t>】日的，视为乙方根本违约，甲方有权单方解除合同，并要求乙方承担合同总金额5%的违约金，违约金不足以弥补损失的，由乙方另行支付；乙方违反第九条约定的，应向甲方支付本合同总价款5</w:t>
      </w:r>
      <w:r>
        <w:rPr>
          <w:rFonts w:hint="default" w:ascii="宋体" w:hAnsi="宋体" w:eastAsia="宋体" w:cs="Times New Roman"/>
          <w:sz w:val="24"/>
          <w:szCs w:val="24"/>
          <w:lang w:val="en-US" w:eastAsia="zh-CN" w:bidi="ar-SA"/>
        </w:rPr>
        <w:t>%</w:t>
      </w:r>
      <w:r>
        <w:rPr>
          <w:rFonts w:hint="eastAsia" w:ascii="宋体" w:hAnsi="宋体" w:eastAsia="宋体" w:cs="Times New Roman"/>
          <w:sz w:val="24"/>
          <w:szCs w:val="24"/>
          <w:lang w:val="en-US" w:eastAsia="zh-CN" w:bidi="ar-SA"/>
        </w:rPr>
        <w:t>的违约金。</w:t>
      </w:r>
    </w:p>
    <w:p w14:paraId="640F9B73">
      <w:pPr>
        <w:widowControl w:val="0"/>
        <w:numPr>
          <w:ilvl w:val="0"/>
          <w:numId w:val="0"/>
        </w:numPr>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如交付的产品数量、品种、规格、质量不符合国家标准和合同约定的，由乙方负责包修、包换、退货，并承担由此给甲方造成的所有经济损失；乙方退换货【</w:t>
      </w:r>
      <w:r>
        <w:rPr>
          <w:rFonts w:hint="default" w:ascii="宋体" w:hAnsi="宋体" w:eastAsia="宋体" w:cs="Times New Roman"/>
          <w:color w:val="000000"/>
          <w:sz w:val="24"/>
          <w:szCs w:val="24"/>
          <w:u w:val="single"/>
          <w:lang w:val="en-US" w:eastAsia="zh-CN" w:bidi="ar-SA"/>
        </w:rPr>
        <w:t xml:space="preserve">  </w:t>
      </w:r>
      <w:r>
        <w:rPr>
          <w:rFonts w:hint="eastAsia" w:ascii="宋体" w:hAnsi="宋体" w:eastAsia="宋体" w:cs="Times New Roman"/>
          <w:sz w:val="24"/>
          <w:szCs w:val="24"/>
          <w:lang w:val="en-US" w:eastAsia="zh-CN" w:bidi="ar-SA"/>
        </w:rPr>
        <w:t>】次后产品仍不符合国家标准和合同约定或拒绝退换货的，视为乙方根本违约，甲方有权单方解除合同，解除合同的通知自送达乙方之日视为合同已解除，同时乙方应向甲方支付本合同总价款5%的违约金。</w:t>
      </w:r>
    </w:p>
    <w:p w14:paraId="2429C3BA">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除前款约定外，乙方未按合同要求提供产品或提供虚假材料，或产品质量不能满足技术要求的，视为乙方根本违约，甲方有权终止合同，同时要求乙方承担本合同总价款5％的违约金，违约金不足以弥补损失的，由乙方另行支付。</w:t>
      </w:r>
    </w:p>
    <w:p w14:paraId="6DB716DD">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3</w:t>
      </w:r>
      <w:r>
        <w:rPr>
          <w:rFonts w:hint="eastAsia" w:ascii="宋体" w:hAnsi="宋体" w:eastAsia="宋体" w:cs="Times New Roman"/>
          <w:sz w:val="24"/>
          <w:szCs w:val="24"/>
          <w:lang w:val="en-US" w:eastAsia="zh-CN" w:bidi="ar-SA"/>
        </w:rPr>
        <w:t>、自本合同签订之日起，若甲方无故中途退货，应向乙方支付合同总金额</w:t>
      </w:r>
      <w:r>
        <w:rPr>
          <w:rFonts w:hint="default" w:ascii="宋体" w:hAnsi="宋体" w:eastAsia="宋体" w:cs="Times New Roman"/>
          <w:sz w:val="24"/>
          <w:szCs w:val="24"/>
          <w:lang w:val="en-US" w:eastAsia="zh-CN" w:bidi="ar-SA"/>
        </w:rPr>
        <w:t>5%</w:t>
      </w:r>
      <w:r>
        <w:rPr>
          <w:rFonts w:hint="eastAsia" w:ascii="宋体" w:hAnsi="宋体" w:eastAsia="宋体" w:cs="Times New Roman"/>
          <w:sz w:val="24"/>
          <w:szCs w:val="24"/>
          <w:lang w:val="en-US" w:eastAsia="zh-CN" w:bidi="ar-SA"/>
        </w:rPr>
        <w:t>的违约金。</w:t>
      </w:r>
    </w:p>
    <w:p w14:paraId="5A3CD3A6">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4</w:t>
      </w:r>
      <w:r>
        <w:rPr>
          <w:rFonts w:hint="eastAsia" w:ascii="宋体" w:hAnsi="宋体" w:eastAsia="宋体" w:cs="Times New Roman"/>
          <w:sz w:val="24"/>
          <w:szCs w:val="24"/>
          <w:lang w:val="en-US" w:eastAsia="zh-CN" w:bidi="ar-SA"/>
        </w:rPr>
        <w:t>、甲方应当按时向乙方支付货款，逾期付款的，应向乙方支付迟延履行的违约金，每日违约金按逾期付款金额的万分之一计算。因乙方迟延提供发票导致甲方顺延付款期限的，甲方不承担违约责任。</w:t>
      </w:r>
    </w:p>
    <w:p w14:paraId="39E532B6">
      <w:pPr>
        <w:pStyle w:val="2"/>
        <w:kinsoku w:val="0"/>
        <w:overflowPunct w:val="0"/>
        <w:spacing w:before="0" w:line="360" w:lineRule="auto"/>
        <w:ind w:left="0"/>
        <w:jc w:val="left"/>
        <w:rPr>
          <w:rFonts w:ascii="宋体" w:hAnsi="宋体" w:eastAsia="宋体"/>
          <w:kern w:val="0"/>
        </w:rPr>
      </w:pPr>
      <w:r>
        <w:rPr>
          <w:rFonts w:ascii="宋体" w:hAnsi="宋体" w:eastAsia="宋体"/>
          <w:kern w:val="0"/>
        </w:rPr>
        <w:t>第十四条：不可抗力</w:t>
      </w:r>
    </w:p>
    <w:p w14:paraId="15203D78">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w:t>
      </w:r>
      <w:r>
        <w:rPr>
          <w:rFonts w:hint="default" w:ascii="宋体" w:hAnsi="宋体" w:eastAsia="宋体" w:cs="Times New Roman"/>
          <w:sz w:val="24"/>
          <w:szCs w:val="24"/>
          <w:lang w:val="en-US" w:eastAsia="zh-CN" w:bidi="ar-SA"/>
        </w:rPr>
        <w:t>六十</w:t>
      </w:r>
      <w:r>
        <w:rPr>
          <w:rFonts w:hint="eastAsia" w:ascii="宋体" w:hAnsi="宋体" w:eastAsia="宋体" w:cs="Times New Roman"/>
          <w:sz w:val="24"/>
          <w:szCs w:val="24"/>
          <w:lang w:val="en-US" w:eastAsia="zh-CN" w:bidi="ar-SA"/>
        </w:rPr>
        <w:t>个工作日内提供附有有关该事件的权威机关证明的书面材料，包括陈述迟延履行、部分履行或无法履行本合同义务的理由的说明书，方可免责。</w:t>
      </w:r>
    </w:p>
    <w:p w14:paraId="46FA85B9">
      <w:pPr>
        <w:pStyle w:val="2"/>
        <w:kinsoku w:val="0"/>
        <w:overflowPunct w:val="0"/>
        <w:spacing w:before="0" w:line="360" w:lineRule="auto"/>
        <w:ind w:left="0"/>
        <w:jc w:val="left"/>
        <w:rPr>
          <w:rFonts w:ascii="宋体" w:hAnsi="宋体" w:eastAsia="宋体"/>
          <w:kern w:val="0"/>
        </w:rPr>
      </w:pPr>
      <w:r>
        <w:rPr>
          <w:rFonts w:ascii="宋体" w:hAnsi="宋体" w:eastAsia="宋体"/>
          <w:kern w:val="0"/>
        </w:rPr>
        <w:t>第十五条：纠纷的解决</w:t>
      </w:r>
    </w:p>
    <w:p w14:paraId="5F7409FF">
      <w:pPr>
        <w:widowControl w:val="0"/>
        <w:kinsoku w:val="0"/>
        <w:overflowPunct w:val="0"/>
        <w:autoSpaceDE w:val="0"/>
        <w:autoSpaceDN w:val="0"/>
        <w:adjustRightInd w:val="0"/>
        <w:spacing w:line="367" w:lineRule="auto"/>
        <w:ind w:left="100" w:right="105" w:firstLine="480"/>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本合同在履行过程中发生的与本合同有关的任何争议，由甲、乙双方先行友好协商解决，协商不成的，任何一方有权向甲方所在地有管辖的人民法院提起诉讼。</w:t>
      </w:r>
    </w:p>
    <w:p w14:paraId="3BC3CE84">
      <w:pPr>
        <w:pStyle w:val="2"/>
        <w:kinsoku w:val="0"/>
        <w:overflowPunct w:val="0"/>
        <w:spacing w:before="0" w:line="360" w:lineRule="auto"/>
        <w:ind w:left="0"/>
        <w:jc w:val="left"/>
        <w:rPr>
          <w:rFonts w:ascii="宋体" w:hAnsi="宋体" w:eastAsia="宋体"/>
          <w:kern w:val="0"/>
        </w:rPr>
      </w:pPr>
      <w:r>
        <w:rPr>
          <w:rFonts w:ascii="宋体" w:hAnsi="宋体" w:eastAsia="宋体"/>
          <w:kern w:val="0"/>
        </w:rPr>
        <w:t>第十</w:t>
      </w:r>
      <w:r>
        <w:rPr>
          <w:rFonts w:hint="eastAsia" w:ascii="宋体" w:hAnsi="宋体" w:eastAsia="宋体"/>
          <w:kern w:val="0"/>
        </w:rPr>
        <w:t>六</w:t>
      </w:r>
      <w:r>
        <w:rPr>
          <w:rFonts w:ascii="宋体" w:hAnsi="宋体" w:eastAsia="宋体"/>
          <w:kern w:val="0"/>
        </w:rPr>
        <w:t>条：以下资料为本合同不可分割部分，与本合同具有同等法律效力</w:t>
      </w:r>
    </w:p>
    <w:p w14:paraId="0D528CB0">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1</w:t>
      </w:r>
      <w:r>
        <w:rPr>
          <w:rFonts w:hint="eastAsia" w:ascii="宋体" w:hAnsi="宋体" w:eastAsia="宋体" w:cs="Times New Roman"/>
          <w:sz w:val="24"/>
          <w:szCs w:val="24"/>
          <w:lang w:val="en-US" w:eastAsia="zh-CN" w:bidi="ar-SA"/>
        </w:rPr>
        <w:t>、本合同所涉产品的国家标准及乙方宣传标准；</w:t>
      </w:r>
    </w:p>
    <w:p w14:paraId="0112BD6F">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2</w:t>
      </w:r>
      <w:r>
        <w:rPr>
          <w:rFonts w:hint="eastAsia" w:ascii="宋体" w:hAnsi="宋体" w:eastAsia="宋体" w:cs="Times New Roman"/>
          <w:sz w:val="24"/>
          <w:szCs w:val="24"/>
          <w:lang w:val="en-US" w:eastAsia="zh-CN" w:bidi="ar-SA"/>
        </w:rPr>
        <w:t>、本产品的详细资料；</w:t>
      </w:r>
    </w:p>
    <w:p w14:paraId="1E82CFF5">
      <w:pPr>
        <w:widowControl w:val="0"/>
        <w:kinsoku w:val="0"/>
        <w:overflowPunct w:val="0"/>
        <w:autoSpaceDE w:val="0"/>
        <w:autoSpaceDN w:val="0"/>
        <w:adjustRightInd w:val="0"/>
        <w:spacing w:line="360" w:lineRule="auto"/>
        <w:ind w:firstLine="480" w:firstLineChars="200"/>
        <w:jc w:val="both"/>
        <w:rPr>
          <w:rFonts w:hint="default" w:ascii="宋体" w:hAnsi="宋体" w:eastAsia="宋体" w:cs="Times New Roman"/>
          <w:sz w:val="24"/>
          <w:szCs w:val="24"/>
          <w:lang w:val="en-US" w:eastAsia="zh-CN" w:bidi="ar-SA"/>
        </w:rPr>
      </w:pPr>
      <w:r>
        <w:rPr>
          <w:rFonts w:hint="default" w:ascii="宋体" w:hAnsi="宋体" w:eastAsia="宋体" w:cs="Times New Roman"/>
          <w:sz w:val="24"/>
          <w:szCs w:val="24"/>
          <w:lang w:val="en-US" w:eastAsia="zh-CN" w:bidi="ar-SA"/>
        </w:rPr>
        <w:t>3</w:t>
      </w:r>
      <w:r>
        <w:rPr>
          <w:rFonts w:hint="eastAsia" w:ascii="宋体" w:hAnsi="宋体" w:eastAsia="宋体" w:cs="Times New Roman"/>
          <w:sz w:val="24"/>
          <w:szCs w:val="24"/>
          <w:lang w:val="en-US" w:eastAsia="zh-CN" w:bidi="ar-SA"/>
        </w:rPr>
        <w:t>、招投标文件；</w:t>
      </w:r>
    </w:p>
    <w:p w14:paraId="3FFDF25D">
      <w:pPr>
        <w:widowControl w:val="0"/>
        <w:kinsoku w:val="0"/>
        <w:overflowPunct w:val="0"/>
        <w:autoSpaceDE w:val="0"/>
        <w:autoSpaceDN w:val="0"/>
        <w:adjustRightInd w:val="0"/>
        <w:spacing w:line="360" w:lineRule="auto"/>
        <w:jc w:val="both"/>
        <w:rPr>
          <w:rFonts w:hint="default" w:ascii="宋体" w:hAnsi="宋体" w:eastAsia="宋体" w:cs="Times New Roman"/>
          <w:sz w:val="24"/>
          <w:szCs w:val="24"/>
          <w:lang w:val="en-US" w:eastAsia="zh-CN" w:bidi="ar-SA"/>
        </w:rPr>
      </w:pPr>
      <w:r>
        <w:rPr>
          <w:rFonts w:hint="default" w:ascii="宋体" w:hAnsi="宋体" w:eastAsia="宋体" w:cs="Times New Roman"/>
          <w:b/>
          <w:sz w:val="24"/>
          <w:szCs w:val="24"/>
          <w:lang w:val="en-US" w:eastAsia="zh-CN" w:bidi="ar-SA"/>
        </w:rPr>
        <w:t>第十</w:t>
      </w:r>
      <w:r>
        <w:rPr>
          <w:rFonts w:hint="eastAsia" w:ascii="宋体" w:hAnsi="宋体" w:eastAsia="宋体" w:cs="Times New Roman"/>
          <w:b/>
          <w:sz w:val="24"/>
          <w:szCs w:val="24"/>
          <w:lang w:val="en-US" w:eastAsia="zh-CN" w:bidi="ar-SA"/>
        </w:rPr>
        <w:t>七</w:t>
      </w:r>
      <w:r>
        <w:rPr>
          <w:rFonts w:hint="default" w:ascii="宋体" w:hAnsi="宋体" w:eastAsia="宋体" w:cs="Times New Roman"/>
          <w:b/>
          <w:sz w:val="24"/>
          <w:szCs w:val="24"/>
          <w:lang w:val="en-US" w:eastAsia="zh-CN" w:bidi="ar-SA"/>
        </w:rPr>
        <w:t>条</w:t>
      </w:r>
      <w:r>
        <w:rPr>
          <w:rFonts w:hint="eastAsia" w:ascii="宋体" w:hAnsi="宋体" w:eastAsia="宋体" w:cs="Times New Roman"/>
          <w:b/>
          <w:sz w:val="24"/>
          <w:szCs w:val="24"/>
          <w:lang w:val="en-US" w:eastAsia="zh-CN" w:bidi="ar-SA"/>
        </w:rPr>
        <w:t>：本合同一式肆份，甲、乙双方各执贰份，均具有同等法律效力</w:t>
      </w:r>
    </w:p>
    <w:p w14:paraId="6F5EBC93">
      <w:pPr>
        <w:widowControl w:val="0"/>
        <w:kinsoku w:val="0"/>
        <w:overflowPunct w:val="0"/>
        <w:autoSpaceDE w:val="0"/>
        <w:autoSpaceDN w:val="0"/>
        <w:adjustRightInd w:val="0"/>
        <w:spacing w:line="360" w:lineRule="auto"/>
        <w:jc w:val="both"/>
        <w:rPr>
          <w:rFonts w:hint="default" w:ascii="宋体" w:hAnsi="宋体" w:eastAsia="宋体" w:cs="Times New Roman"/>
          <w:sz w:val="24"/>
          <w:szCs w:val="24"/>
          <w:lang w:val="en-US" w:eastAsia="zh-CN" w:bidi="ar-SA"/>
        </w:rPr>
      </w:pPr>
      <w:r>
        <w:rPr>
          <w:rFonts w:hint="default" w:ascii="宋体" w:hAnsi="宋体" w:eastAsia="宋体" w:cs="Times New Roman"/>
          <w:b/>
          <w:sz w:val="24"/>
          <w:szCs w:val="24"/>
          <w:lang w:val="en-US" w:eastAsia="zh-CN" w:bidi="ar-SA"/>
        </w:rPr>
        <w:t>第十</w:t>
      </w:r>
      <w:r>
        <w:rPr>
          <w:rFonts w:hint="eastAsia" w:ascii="宋体" w:hAnsi="宋体" w:eastAsia="宋体" w:cs="Times New Roman"/>
          <w:b/>
          <w:sz w:val="24"/>
          <w:szCs w:val="24"/>
          <w:lang w:val="en-US" w:eastAsia="zh-CN" w:bidi="ar-SA"/>
        </w:rPr>
        <w:t>八</w:t>
      </w:r>
      <w:r>
        <w:rPr>
          <w:rFonts w:hint="default" w:ascii="宋体" w:hAnsi="宋体" w:eastAsia="宋体" w:cs="Times New Roman"/>
          <w:b/>
          <w:sz w:val="24"/>
          <w:szCs w:val="24"/>
          <w:lang w:val="en-US" w:eastAsia="zh-CN" w:bidi="ar-SA"/>
        </w:rPr>
        <w:t>条</w:t>
      </w:r>
      <w:r>
        <w:rPr>
          <w:rFonts w:hint="eastAsia" w:ascii="宋体" w:hAnsi="宋体" w:eastAsia="宋体" w:cs="Times New Roman"/>
          <w:sz w:val="24"/>
          <w:szCs w:val="24"/>
          <w:lang w:val="en-US" w:eastAsia="zh-CN" w:bidi="ar-SA"/>
        </w:rPr>
        <w:t>：本合同未尽事宜，由甲、乙双方另行签订补充协议，补充协议作为合同附件与本合同具有同等法律效力。</w:t>
      </w:r>
    </w:p>
    <w:p w14:paraId="03DFEC7C">
      <w:pPr>
        <w:widowControl w:val="0"/>
        <w:kinsoku w:val="0"/>
        <w:overflowPunct w:val="0"/>
        <w:autoSpaceDE w:val="0"/>
        <w:autoSpaceDN w:val="0"/>
        <w:adjustRightInd w:val="0"/>
        <w:spacing w:line="360" w:lineRule="auto"/>
        <w:jc w:val="both"/>
        <w:rPr>
          <w:rFonts w:hint="default" w:ascii="宋体" w:hAnsi="宋体" w:eastAsia="宋体" w:cs="Times New Roman"/>
          <w:sz w:val="24"/>
          <w:szCs w:val="24"/>
          <w:lang w:val="en-US" w:eastAsia="zh-CN" w:bidi="ar-SA"/>
        </w:rPr>
      </w:pPr>
      <w:r>
        <w:rPr>
          <w:rFonts w:hint="default" w:ascii="宋体" w:hAnsi="宋体" w:eastAsia="宋体" w:cs="Times New Roman"/>
          <w:b/>
          <w:sz w:val="24"/>
          <w:szCs w:val="24"/>
          <w:lang w:val="en-US" w:eastAsia="zh-CN" w:bidi="ar-SA"/>
        </w:rPr>
        <w:t>第</w:t>
      </w:r>
      <w:r>
        <w:rPr>
          <w:rFonts w:hint="eastAsia" w:ascii="宋体" w:hAnsi="宋体" w:eastAsia="宋体" w:cs="Times New Roman"/>
          <w:b/>
          <w:sz w:val="24"/>
          <w:szCs w:val="24"/>
          <w:lang w:val="en-US" w:eastAsia="zh-CN" w:bidi="ar-SA"/>
        </w:rPr>
        <w:t>十九</w:t>
      </w:r>
      <w:r>
        <w:rPr>
          <w:rFonts w:hint="default" w:ascii="宋体" w:hAnsi="宋体" w:eastAsia="宋体" w:cs="Times New Roman"/>
          <w:b/>
          <w:sz w:val="24"/>
          <w:szCs w:val="24"/>
          <w:lang w:val="en-US" w:eastAsia="zh-CN" w:bidi="ar-SA"/>
        </w:rPr>
        <w:t>条</w:t>
      </w:r>
      <w:r>
        <w:rPr>
          <w:rFonts w:hint="eastAsia" w:ascii="宋体" w:hAnsi="宋体" w:eastAsia="宋体" w:cs="Times New Roman"/>
          <w:sz w:val="24"/>
          <w:szCs w:val="24"/>
          <w:lang w:val="en-US" w:eastAsia="zh-CN" w:bidi="ar-SA"/>
        </w:rPr>
        <w:t>：本合同自甲、乙双方正式授权代表签字并加盖公章之日起生效。</w:t>
      </w:r>
    </w:p>
    <w:p w14:paraId="16FDCC20">
      <w:pPr>
        <w:widowControl w:val="0"/>
        <w:kinsoku w:val="0"/>
        <w:overflowPunct w:val="0"/>
        <w:autoSpaceDE w:val="0"/>
        <w:autoSpaceDN w:val="0"/>
        <w:adjustRightInd w:val="0"/>
        <w:spacing w:line="360" w:lineRule="auto"/>
        <w:jc w:val="both"/>
        <w:rPr>
          <w:rFonts w:hint="default" w:ascii="宋体" w:hAnsi="宋体" w:eastAsia="宋体" w:cs="Times New Roman"/>
          <w:sz w:val="24"/>
          <w:szCs w:val="24"/>
          <w:lang w:val="en-US" w:eastAsia="zh-CN" w:bidi="ar-SA"/>
        </w:rPr>
      </w:pPr>
      <w:r>
        <w:rPr>
          <w:rFonts w:hint="default" w:ascii="宋体" w:hAnsi="宋体" w:eastAsia="宋体" w:cs="Times New Roman"/>
          <w:b/>
          <w:sz w:val="24"/>
          <w:szCs w:val="24"/>
          <w:lang w:val="en-US" w:eastAsia="zh-CN" w:bidi="ar-SA"/>
        </w:rPr>
        <w:t>第二十条</w:t>
      </w:r>
      <w:r>
        <w:rPr>
          <w:rFonts w:hint="eastAsia" w:ascii="宋体" w:hAnsi="宋体" w:eastAsia="宋体" w:cs="Times New Roman"/>
          <w:sz w:val="24"/>
          <w:szCs w:val="24"/>
          <w:lang w:val="en-US" w:eastAsia="zh-CN" w:bidi="ar-SA"/>
        </w:rPr>
        <w:t>：本合同有效期自生效之日起至合同执行完毕时止。</w:t>
      </w:r>
    </w:p>
    <w:p w14:paraId="2BC926E8">
      <w:pPr>
        <w:widowControl w:val="0"/>
        <w:kinsoku w:val="0"/>
        <w:overflowPunct w:val="0"/>
        <w:autoSpaceDE w:val="0"/>
        <w:autoSpaceDN w:val="0"/>
        <w:adjustRightInd w:val="0"/>
        <w:spacing w:line="360" w:lineRule="auto"/>
        <w:jc w:val="both"/>
        <w:rPr>
          <w:rFonts w:hint="default" w:ascii="宋体" w:hAnsi="宋体" w:eastAsia="宋体" w:cs="Times New Roman"/>
          <w:sz w:val="24"/>
          <w:szCs w:val="24"/>
          <w:lang w:val="en-US" w:eastAsia="zh-CN" w:bidi="ar-SA"/>
        </w:rPr>
      </w:pPr>
      <w:r>
        <w:rPr>
          <w:rFonts w:hint="default" w:ascii="宋体" w:hAnsi="宋体" w:eastAsia="宋体" w:cs="Times New Roman"/>
          <w:b/>
          <w:sz w:val="24"/>
          <w:szCs w:val="24"/>
          <w:lang w:val="en-US" w:eastAsia="zh-CN" w:bidi="ar-SA"/>
        </w:rPr>
        <w:t>第二十</w:t>
      </w:r>
      <w:r>
        <w:rPr>
          <w:rFonts w:hint="eastAsia" w:ascii="宋体" w:hAnsi="宋体" w:eastAsia="宋体" w:cs="Times New Roman"/>
          <w:b/>
          <w:sz w:val="24"/>
          <w:szCs w:val="24"/>
          <w:lang w:val="en-US" w:eastAsia="zh-CN" w:bidi="ar-SA"/>
        </w:rPr>
        <w:t>一</w:t>
      </w:r>
      <w:r>
        <w:rPr>
          <w:rFonts w:hint="default" w:ascii="宋体" w:hAnsi="宋体" w:eastAsia="宋体" w:cs="Times New Roman"/>
          <w:b/>
          <w:sz w:val="24"/>
          <w:szCs w:val="24"/>
          <w:lang w:val="en-US" w:eastAsia="zh-CN" w:bidi="ar-SA"/>
        </w:rPr>
        <w:t>条：</w:t>
      </w:r>
      <w:r>
        <w:rPr>
          <w:rFonts w:hint="eastAsia" w:ascii="宋体" w:hAnsi="宋体" w:eastAsia="宋体" w:cs="Times New Roman"/>
          <w:sz w:val="24"/>
          <w:szCs w:val="24"/>
          <w:lang w:val="en-US" w:eastAsia="zh-CN" w:bidi="ar-SA"/>
        </w:rPr>
        <w:t>本合同应当按照中华人民共和国的现行法律、法规进行解释。</w:t>
      </w:r>
    </w:p>
    <w:p w14:paraId="1C4B6C74">
      <w:pPr>
        <w:widowControl w:val="0"/>
        <w:kinsoku w:val="0"/>
        <w:overflowPunct w:val="0"/>
        <w:autoSpaceDE w:val="0"/>
        <w:autoSpaceDN w:val="0"/>
        <w:adjustRightInd w:val="0"/>
        <w:spacing w:before="8"/>
        <w:rPr>
          <w:rFonts w:hint="default" w:ascii="宋体" w:hAnsi="宋体" w:eastAsia="宋体" w:cs="Times New Roman"/>
          <w:sz w:val="16"/>
          <w:szCs w:val="24"/>
          <w:lang w:val="en-US" w:eastAsia="zh-CN" w:bidi="ar-SA"/>
        </w:rPr>
      </w:pPr>
    </w:p>
    <w:p w14:paraId="36651396">
      <w:pPr>
        <w:pStyle w:val="2"/>
        <w:kinsoku w:val="0"/>
        <w:overflowPunct w:val="0"/>
        <w:spacing w:before="1"/>
        <w:ind w:left="0" w:right="5"/>
        <w:jc w:val="center"/>
        <w:rPr>
          <w:rFonts w:ascii="宋体" w:hAnsi="宋体" w:eastAsia="宋体"/>
          <w:kern w:val="0"/>
        </w:rPr>
      </w:pPr>
      <w:r>
        <w:rPr>
          <w:rFonts w:ascii="宋体" w:hAnsi="宋体" w:eastAsia="宋体"/>
          <w:kern w:val="0"/>
        </w:rPr>
        <w:t>（本页以下无正文）</w:t>
      </w:r>
    </w:p>
    <w:p w14:paraId="7F55425D">
      <w:pPr>
        <w:widowControl w:val="0"/>
        <w:kinsoku w:val="0"/>
        <w:overflowPunct w:val="0"/>
        <w:autoSpaceDE w:val="0"/>
        <w:autoSpaceDN w:val="0"/>
        <w:adjustRightInd w:val="0"/>
        <w:spacing w:before="1"/>
        <w:rPr>
          <w:rFonts w:hint="default" w:ascii="宋体" w:hAnsi="宋体" w:eastAsia="宋体" w:cs="Times New Roman"/>
          <w:b/>
          <w:sz w:val="24"/>
          <w:szCs w:val="24"/>
          <w:lang w:val="en-US" w:eastAsia="zh-CN" w:bidi="ar-SA"/>
        </w:r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7FC4B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2F9D45B5">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default" w:ascii="宋体" w:hAnsi="宋体" w:eastAsia="宋体" w:cs="Times New Roman"/>
                <w:b/>
                <w:sz w:val="21"/>
                <w:szCs w:val="21"/>
                <w:lang w:val="en-US" w:eastAsia="zh-CN" w:bidi="ar-SA"/>
              </w:rPr>
              <w:t>甲方（盖章）：</w:t>
            </w:r>
            <w:r>
              <w:rPr>
                <w:rFonts w:hint="eastAsia" w:ascii="宋体" w:hAnsi="宋体" w:eastAsia="宋体" w:cs="Times New Roman"/>
                <w:b/>
                <w:sz w:val="21"/>
                <w:szCs w:val="21"/>
                <w:lang w:val="en-US" w:eastAsia="zh-CN" w:bidi="ar-SA"/>
              </w:rPr>
              <w:t>陕西中医药大学第二附属医院</w:t>
            </w:r>
          </w:p>
        </w:tc>
        <w:tc>
          <w:tcPr>
            <w:tcW w:w="2500" w:type="pct"/>
            <w:noWrap w:val="0"/>
            <w:vAlign w:val="top"/>
          </w:tcPr>
          <w:p w14:paraId="72AFAB68">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default" w:ascii="宋体" w:hAnsi="宋体" w:eastAsia="宋体" w:cs="Times New Roman"/>
                <w:b/>
                <w:sz w:val="21"/>
                <w:szCs w:val="21"/>
                <w:lang w:val="en-US" w:eastAsia="zh-CN" w:bidi="ar-SA"/>
              </w:rPr>
              <w:t>乙方（盖章）：</w:t>
            </w:r>
          </w:p>
        </w:tc>
      </w:tr>
      <w:tr w14:paraId="29438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796F3C78">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地址：</w:t>
            </w:r>
          </w:p>
        </w:tc>
        <w:tc>
          <w:tcPr>
            <w:tcW w:w="2500" w:type="pct"/>
            <w:noWrap w:val="0"/>
            <w:vAlign w:val="top"/>
          </w:tcPr>
          <w:p w14:paraId="413E9847">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地址：</w:t>
            </w:r>
          </w:p>
        </w:tc>
      </w:tr>
      <w:tr w14:paraId="252F5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71BC671C">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p>
        </w:tc>
        <w:tc>
          <w:tcPr>
            <w:tcW w:w="2500" w:type="pct"/>
            <w:noWrap w:val="0"/>
            <w:vAlign w:val="top"/>
          </w:tcPr>
          <w:p w14:paraId="7670983D">
            <w:pPr>
              <w:widowControl w:val="0"/>
              <w:tabs>
                <w:tab w:val="left" w:pos="5754"/>
                <w:tab w:val="left" w:pos="6474"/>
                <w:tab w:val="left" w:pos="7194"/>
                <w:tab w:val="left" w:pos="7914"/>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账号：</w:t>
            </w:r>
          </w:p>
        </w:tc>
      </w:tr>
      <w:tr w14:paraId="18E7F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1A040E8C">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p>
        </w:tc>
        <w:tc>
          <w:tcPr>
            <w:tcW w:w="2500" w:type="pct"/>
            <w:noWrap w:val="0"/>
            <w:vAlign w:val="top"/>
          </w:tcPr>
          <w:p w14:paraId="7301203D">
            <w:pPr>
              <w:widowControl w:val="0"/>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开户行：</w:t>
            </w:r>
          </w:p>
        </w:tc>
      </w:tr>
      <w:tr w14:paraId="76CCF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20DA228E">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主管领导：</w:t>
            </w:r>
          </w:p>
        </w:tc>
        <w:tc>
          <w:tcPr>
            <w:tcW w:w="2500" w:type="pct"/>
            <w:noWrap w:val="0"/>
            <w:vAlign w:val="top"/>
          </w:tcPr>
          <w:p w14:paraId="7A7C5F8F">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法定代表人（签字并盖章）：</w:t>
            </w:r>
          </w:p>
        </w:tc>
      </w:tr>
      <w:tr w14:paraId="29E1D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7DC2B0C2">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经办人：</w:t>
            </w:r>
          </w:p>
        </w:tc>
        <w:tc>
          <w:tcPr>
            <w:tcW w:w="2500" w:type="pct"/>
            <w:noWrap w:val="0"/>
            <w:vAlign w:val="top"/>
          </w:tcPr>
          <w:p w14:paraId="7230C0F4">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委托代理人：</w:t>
            </w:r>
          </w:p>
        </w:tc>
      </w:tr>
      <w:tr w14:paraId="08048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7EB6CCDB">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电话：</w:t>
            </w:r>
          </w:p>
        </w:tc>
        <w:tc>
          <w:tcPr>
            <w:tcW w:w="2500" w:type="pct"/>
            <w:noWrap w:val="0"/>
            <w:vAlign w:val="top"/>
          </w:tcPr>
          <w:p w14:paraId="6D276A76">
            <w:pPr>
              <w:widowControl w:val="0"/>
              <w:tabs>
                <w:tab w:val="left" w:pos="4433"/>
              </w:tabs>
              <w:kinsoku w:val="0"/>
              <w:overflowPunct w:val="0"/>
              <w:autoSpaceDE w:val="0"/>
              <w:autoSpaceDN w:val="0"/>
              <w:adjustRightInd w:val="0"/>
              <w:spacing w:line="360" w:lineRule="auto"/>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电话：</w:t>
            </w:r>
          </w:p>
        </w:tc>
      </w:tr>
      <w:tr w14:paraId="460C6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0416D85B">
            <w:pPr>
              <w:widowControl w:val="0"/>
              <w:tabs>
                <w:tab w:val="left" w:pos="4433"/>
              </w:tabs>
              <w:kinsoku w:val="0"/>
              <w:overflowPunct w:val="0"/>
              <w:autoSpaceDE w:val="0"/>
              <w:autoSpaceDN w:val="0"/>
              <w:adjustRightInd w:val="0"/>
              <w:spacing w:line="360" w:lineRule="auto"/>
              <w:ind w:firstLine="632" w:firstLineChars="300"/>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 xml:space="preserve">年 </w:t>
            </w:r>
            <w:r>
              <w:rPr>
                <w:rFonts w:hint="default" w:ascii="宋体" w:hAnsi="宋体" w:eastAsia="宋体" w:cs="Times New Roman"/>
                <w:b/>
                <w:sz w:val="21"/>
                <w:szCs w:val="21"/>
                <w:lang w:val="en-US" w:eastAsia="zh-CN" w:bidi="ar-SA"/>
              </w:rPr>
              <w:t xml:space="preserve">  </w:t>
            </w:r>
            <w:r>
              <w:rPr>
                <w:rFonts w:hint="eastAsia" w:ascii="宋体" w:hAnsi="宋体" w:eastAsia="宋体" w:cs="Times New Roman"/>
                <w:b/>
                <w:sz w:val="21"/>
                <w:szCs w:val="21"/>
                <w:lang w:val="en-US" w:eastAsia="zh-CN" w:bidi="ar-SA"/>
              </w:rPr>
              <w:t xml:space="preserve">月 </w:t>
            </w:r>
            <w:r>
              <w:rPr>
                <w:rFonts w:hint="default" w:ascii="宋体" w:hAnsi="宋体" w:eastAsia="宋体" w:cs="Times New Roman"/>
                <w:b/>
                <w:sz w:val="21"/>
                <w:szCs w:val="21"/>
                <w:lang w:val="en-US" w:eastAsia="zh-CN" w:bidi="ar-SA"/>
              </w:rPr>
              <w:t xml:space="preserve">  </w:t>
            </w:r>
            <w:r>
              <w:rPr>
                <w:rFonts w:hint="eastAsia" w:ascii="宋体" w:hAnsi="宋体" w:eastAsia="宋体" w:cs="Times New Roman"/>
                <w:b/>
                <w:sz w:val="21"/>
                <w:szCs w:val="21"/>
                <w:lang w:val="en-US" w:eastAsia="zh-CN" w:bidi="ar-SA"/>
              </w:rPr>
              <w:t>日</w:t>
            </w:r>
          </w:p>
        </w:tc>
        <w:tc>
          <w:tcPr>
            <w:tcW w:w="2500" w:type="pct"/>
            <w:noWrap w:val="0"/>
            <w:vAlign w:val="top"/>
          </w:tcPr>
          <w:p w14:paraId="42CAF20F">
            <w:pPr>
              <w:widowControl w:val="0"/>
              <w:tabs>
                <w:tab w:val="left" w:pos="4433"/>
              </w:tabs>
              <w:kinsoku w:val="0"/>
              <w:overflowPunct w:val="0"/>
              <w:autoSpaceDE w:val="0"/>
              <w:autoSpaceDN w:val="0"/>
              <w:adjustRightInd w:val="0"/>
              <w:spacing w:line="360" w:lineRule="auto"/>
              <w:ind w:firstLine="632" w:firstLineChars="300"/>
              <w:jc w:val="both"/>
              <w:rPr>
                <w:rFonts w:hint="default" w:ascii="宋体" w:hAnsi="宋体" w:eastAsia="宋体" w:cs="Times New Roman"/>
                <w:b/>
                <w:sz w:val="21"/>
                <w:szCs w:val="21"/>
                <w:lang w:val="en-US" w:eastAsia="zh-CN" w:bidi="ar-SA"/>
              </w:rPr>
            </w:pPr>
            <w:r>
              <w:rPr>
                <w:rFonts w:hint="eastAsia" w:ascii="宋体" w:hAnsi="宋体" w:eastAsia="宋体" w:cs="Times New Roman"/>
                <w:b/>
                <w:sz w:val="21"/>
                <w:szCs w:val="21"/>
                <w:lang w:val="en-US" w:eastAsia="zh-CN" w:bidi="ar-SA"/>
              </w:rPr>
              <w:t xml:space="preserve">年 </w:t>
            </w:r>
            <w:r>
              <w:rPr>
                <w:rFonts w:hint="default" w:ascii="宋体" w:hAnsi="宋体" w:eastAsia="宋体" w:cs="Times New Roman"/>
                <w:b/>
                <w:sz w:val="21"/>
                <w:szCs w:val="21"/>
                <w:lang w:val="en-US" w:eastAsia="zh-CN" w:bidi="ar-SA"/>
              </w:rPr>
              <w:t xml:space="preserve">  </w:t>
            </w:r>
            <w:r>
              <w:rPr>
                <w:rFonts w:hint="eastAsia" w:ascii="宋体" w:hAnsi="宋体" w:eastAsia="宋体" w:cs="Times New Roman"/>
                <w:b/>
                <w:sz w:val="21"/>
                <w:szCs w:val="21"/>
                <w:lang w:val="en-US" w:eastAsia="zh-CN" w:bidi="ar-SA"/>
              </w:rPr>
              <w:t xml:space="preserve">月 </w:t>
            </w:r>
            <w:r>
              <w:rPr>
                <w:rFonts w:hint="default" w:ascii="宋体" w:hAnsi="宋体" w:eastAsia="宋体" w:cs="Times New Roman"/>
                <w:b/>
                <w:sz w:val="21"/>
                <w:szCs w:val="21"/>
                <w:lang w:val="en-US" w:eastAsia="zh-CN" w:bidi="ar-SA"/>
              </w:rPr>
              <w:t xml:space="preserve">  </w:t>
            </w:r>
            <w:r>
              <w:rPr>
                <w:rFonts w:hint="eastAsia" w:ascii="宋体" w:hAnsi="宋体" w:eastAsia="宋体" w:cs="Times New Roman"/>
                <w:b/>
                <w:sz w:val="21"/>
                <w:szCs w:val="21"/>
                <w:lang w:val="en-US" w:eastAsia="zh-CN" w:bidi="ar-SA"/>
              </w:rPr>
              <w:t>日</w:t>
            </w:r>
          </w:p>
        </w:tc>
      </w:tr>
    </w:tbl>
    <w:p w14:paraId="222390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724E7B"/>
    <w:multiLevelType w:val="singleLevel"/>
    <w:tmpl w:val="0F724E7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563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unhideWhenUsed/>
    <w:qFormat/>
    <w:uiPriority w:val="1"/>
    <w:pPr>
      <w:widowControl w:val="0"/>
      <w:autoSpaceDE w:val="0"/>
      <w:autoSpaceDN w:val="0"/>
      <w:adjustRightInd w:val="0"/>
      <w:spacing w:before="62"/>
      <w:ind w:left="580"/>
      <w:outlineLvl w:val="2"/>
    </w:pPr>
    <w:rPr>
      <w:rFonts w:hint="default" w:ascii="Microsoft JhengHei" w:hAnsi="Microsoft JhengHei" w:eastAsia="Microsoft JhengHei" w:cs="Times New Roman"/>
      <w:b/>
      <w:sz w:val="24"/>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56" w:afterLines="50" w:line="360" w:lineRule="auto"/>
    </w:pPr>
    <w:rPr>
      <w:rFonts w:ascii="宋体" w:hAnsi="宋体"/>
      <w:color w:val="000000"/>
      <w:sz w:val="24"/>
    </w:rPr>
  </w:style>
  <w:style w:type="paragraph" w:styleId="4">
    <w:name w:val="Body Text Indent"/>
    <w:basedOn w:val="1"/>
    <w:qFormat/>
    <w:uiPriority w:val="0"/>
    <w:pPr>
      <w:spacing w:after="120"/>
      <w:ind w:left="420" w:left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NormalCharacter"/>
    <w:qFormat/>
    <w:uiPriority w:val="0"/>
    <w:rPr>
      <w:rFonts w:ascii="Times New Roman" w:hAnsi="Times New Roman" w:eastAsia="宋体" w:cs="Times New Roman"/>
      <w:kern w:val="2"/>
      <w:sz w:val="21"/>
      <w:szCs w:val="24"/>
      <w:lang w:val="en-US" w:eastAsia="zh-CN" w:bidi="ar-SA"/>
    </w:rPr>
  </w:style>
  <w:style w:type="paragraph" w:customStyle="1" w:styleId="9">
    <w:name w:val="Table Paragraph"/>
    <w:unhideWhenUsed/>
    <w:qFormat/>
    <w:uiPriority w:val="1"/>
    <w:pPr>
      <w:widowControl w:val="0"/>
      <w:autoSpaceDE w:val="0"/>
      <w:autoSpaceDN w:val="0"/>
      <w:adjustRightInd w:val="0"/>
      <w:spacing w:before="158"/>
      <w:jc w:val="center"/>
    </w:pPr>
    <w:rPr>
      <w:rFonts w:hint="eastAsia"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2025-03-07T09:07:32Z</dcterms:created>
  <dc:creator>Administrator</dc:creator>
  <cp:lastModifiedBy>wangx</cp:lastModifiedBy>
  <dcterms:modified xsi:type="dcterms:W3CDTF">2025-03-07T09:08:57Z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eyJoZGlkIjoiZTQ5ZWY0NzI1YzM2ZGRkNzQ5Zjg2YjFkZTNiNDRiZDgiLCJ1c2VySWQiOiIxMTM2NjQzNDU4In0=</vt:lpwstr>
  </property>
  <property fmtid="{D5CDD505-2E9C-101B-9397-08002B2CF9AE}" pid="4" name="ICV">
    <vt:lpwstr>9F4FADDCFE3A4D7DA42150FE898D1310_12</vt:lpwstr>
  </property>
</Properties>
</file>