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</w:rPr>
        <w:t>供货服务方案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</w:rPr>
        <w:t>图书到货率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</w:rPr>
        <w:t>采访数据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</w:rPr>
        <w:t>编目数据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</w:rPr>
        <w:t>加工服务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</w:rPr>
        <w:t>质量保证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</w:rPr>
        <w:t>应急措施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</w:rPr>
        <w:t>履约能力1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</w:rPr>
        <w:t>履约能力2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</w:rPr>
        <w:t>本地化服务能力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</w:rPr>
        <w:t>现采服务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</w:rPr>
        <w:t>追补订措施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13、</w:t>
      </w:r>
      <w:r>
        <w:rPr>
          <w:rFonts w:hint="eastAsia" w:ascii="宋体" w:hAnsi="宋体" w:eastAsia="宋体" w:cs="宋体"/>
          <w:sz w:val="24"/>
        </w:rPr>
        <w:t>售后服务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14、</w:t>
      </w:r>
      <w:r>
        <w:rPr>
          <w:rFonts w:hint="eastAsia" w:ascii="宋体" w:hAnsi="宋体" w:eastAsia="宋体" w:cs="宋体"/>
          <w:sz w:val="24"/>
        </w:rPr>
        <w:t>业绩</w:t>
      </w:r>
      <w:bookmarkStart w:id="1" w:name="_GoBack"/>
      <w:bookmarkEnd w:id="1"/>
    </w:p>
    <w:p>
      <w:pPr>
        <w:kinsoku w:val="0"/>
        <w:spacing w:line="500" w:lineRule="exact"/>
        <w:ind w:firstLine="480" w:firstLineChars="200"/>
        <w:outlineLvl w:val="1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25bc247-1115-4c2e-bfcb-5f3da5d31327"/>
  </w:docVars>
  <w:rsids>
    <w:rsidRoot w:val="3FE42650"/>
    <w:rsid w:val="35B71AE4"/>
    <w:rsid w:val="3FE4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qFormat/>
    <w:uiPriority w:val="0"/>
    <w:pPr>
      <w:spacing w:after="120"/>
    </w:pPr>
    <w:rPr>
      <w:sz w:val="16"/>
      <w:szCs w:val="16"/>
    </w:rPr>
  </w:style>
  <w:style w:type="paragraph" w:customStyle="1" w:styleId="3">
    <w:name w:val="Char1"/>
    <w:basedOn w:val="1"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  <w:style w:type="paragraph" w:styleId="4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2025-03-10T03:19:00Z</dcterms:created>
  <dc:creator>ANNY</dc:creator>
  <cp:lastModifiedBy>ANNY</cp:lastModifiedBy>
  <dcterms:modified xsi:type="dcterms:W3CDTF">2025-03-10T03:41:53Z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C5A880D7CF5749EF9DCBD3F7215C7E44_11</vt:lpwstr>
  </property>
</Properties>
</file>