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76FB1A">
      <w:pPr>
        <w:pStyle w:val="9"/>
        <w:numPr>
          <w:ilvl w:val="0"/>
          <w:numId w:val="1"/>
        </w:numPr>
        <w:jc w:val="center"/>
        <w:outlineLvl w:val="1"/>
        <w:rPr>
          <w:b/>
          <w:sz w:val="36"/>
        </w:rPr>
      </w:pPr>
      <w:r>
        <w:rPr>
          <w:b/>
          <w:sz w:val="36"/>
        </w:rPr>
        <w:t>拟签订采购合同文本</w:t>
      </w:r>
    </w:p>
    <w:p w14:paraId="03979E09">
      <w:pPr>
        <w:pStyle w:val="9"/>
        <w:numPr>
          <w:ilvl w:val="0"/>
          <w:numId w:val="0"/>
        </w:numPr>
        <w:jc w:val="center"/>
        <w:outlineLvl w:val="1"/>
        <w:rPr>
          <w:rFonts w:hint="default" w:eastAsiaTheme="minorEastAsia"/>
          <w:lang w:val="en-US" w:eastAsia="zh-CN"/>
        </w:rPr>
      </w:pPr>
      <w:r>
        <w:rPr>
          <w:rFonts w:hint="eastAsia"/>
          <w:b/>
          <w:sz w:val="36"/>
          <w:lang w:eastAsia="zh-CN"/>
        </w:rPr>
        <w:t>（</w:t>
      </w:r>
      <w:r>
        <w:rPr>
          <w:rFonts w:hint="eastAsia"/>
          <w:b/>
          <w:sz w:val="36"/>
          <w:lang w:val="en-US" w:eastAsia="zh-CN"/>
        </w:rPr>
        <w:t>参考合同）</w:t>
      </w:r>
    </w:p>
    <w:p w14:paraId="0065899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hint="default" w:ascii="Times New Roman" w:hAnsi="Times New Roman" w:eastAsia="方正小标宋简体" w:cs="Times New Roman"/>
          <w:i w:val="0"/>
          <w:caps w:val="0"/>
          <w:color w:val="auto"/>
          <w:spacing w:val="0"/>
          <w:sz w:val="24"/>
          <w:szCs w:val="24"/>
        </w:rPr>
      </w:pPr>
      <w:r>
        <w:rPr>
          <w:rFonts w:hint="default" w:ascii="Times New Roman" w:hAnsi="Times New Roman" w:eastAsia="方正小标宋简体" w:cs="Times New Roman"/>
          <w:b/>
          <w:i w:val="0"/>
          <w:caps w:val="0"/>
          <w:color w:val="auto"/>
          <w:spacing w:val="0"/>
          <w:kern w:val="0"/>
          <w:sz w:val="24"/>
          <w:szCs w:val="24"/>
          <w:u w:val="single"/>
          <w:shd w:val="clear" w:fill="FFFFFF"/>
          <w:vertAlign w:val="baseline"/>
          <w:lang w:val="en-US" w:eastAsia="zh-CN" w:bidi="ar"/>
        </w:rPr>
        <w:t xml:space="preserve">                        </w:t>
      </w:r>
      <w:r>
        <w:rPr>
          <w:rFonts w:hint="default" w:ascii="Times New Roman" w:hAnsi="Times New Roman" w:eastAsia="方正小标宋简体" w:cs="Times New Roman"/>
          <w:b/>
          <w:i w:val="0"/>
          <w:caps w:val="0"/>
          <w:color w:val="auto"/>
          <w:spacing w:val="0"/>
          <w:kern w:val="0"/>
          <w:sz w:val="24"/>
          <w:szCs w:val="24"/>
          <w:shd w:val="clear" w:fill="FFFFFF"/>
          <w:vertAlign w:val="baseline"/>
          <w:lang w:val="en-US" w:eastAsia="zh-CN" w:bidi="ar"/>
        </w:rPr>
        <w:t>合同</w:t>
      </w:r>
    </w:p>
    <w:p w14:paraId="500AE0A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100"/>
        <w:jc w:val="center"/>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w:t>
      </w:r>
    </w:p>
    <w:p w14:paraId="19B8319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320" w:firstLineChars="1800"/>
        <w:jc w:val="both"/>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合同编号：</w:t>
      </w:r>
    </w:p>
    <w:p w14:paraId="69EBA47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0"/>
        <w:jc w:val="left"/>
        <w:textAlignment w:val="baseline"/>
        <w:rPr>
          <w:rFonts w:hint="eastAsia" w:ascii="仿宋" w:hAnsi="仿宋" w:eastAsia="仿宋" w:cs="仿宋"/>
          <w:i w:val="0"/>
          <w:caps w:val="0"/>
          <w:color w:val="auto"/>
          <w:spacing w:val="0"/>
          <w:sz w:val="24"/>
          <w:szCs w:val="24"/>
        </w:rPr>
      </w:pPr>
      <w:r>
        <w:rPr>
          <w:rFonts w:hint="eastAsia" w:ascii="仿宋" w:hAnsi="仿宋" w:eastAsia="仿宋" w:cs="仿宋"/>
          <w:i w:val="0"/>
          <w:caps w:val="0"/>
          <w:color w:val="auto"/>
          <w:spacing w:val="0"/>
          <w:kern w:val="0"/>
          <w:sz w:val="24"/>
          <w:szCs w:val="24"/>
          <w:shd w:val="clear" w:fill="FFFFFF"/>
          <w:vertAlign w:val="baseline"/>
          <w:lang w:val="en-US" w:eastAsia="zh-CN" w:bidi="ar"/>
        </w:rPr>
        <w:t>根据《中华人民共和国民法典》、《中华人民共和国政府采购法》及相关法律法规的有关规定，遵循平等、自愿、公平和诚实信用原则，甲、乙双方就</w:t>
      </w:r>
      <w:r>
        <w:rPr>
          <w:rFonts w:hint="eastAsia" w:ascii="仿宋" w:hAnsi="仿宋" w:eastAsia="仿宋" w:cs="仿宋"/>
          <w:color w:val="auto"/>
          <w:sz w:val="24"/>
          <w:szCs w:val="24"/>
          <w:lang w:val="en-US" w:eastAsia="zh-CN"/>
        </w:rPr>
        <w:t>西安医学院通勤班车及教学等用车服务项目</w:t>
      </w:r>
      <w:r>
        <w:rPr>
          <w:rFonts w:hint="eastAsia" w:ascii="仿宋" w:hAnsi="仿宋" w:eastAsia="仿宋" w:cs="仿宋"/>
          <w:i w:val="0"/>
          <w:caps w:val="0"/>
          <w:color w:val="auto"/>
          <w:spacing w:val="0"/>
          <w:kern w:val="0"/>
          <w:sz w:val="24"/>
          <w:szCs w:val="24"/>
          <w:shd w:val="clear" w:fill="FFFFFF"/>
          <w:vertAlign w:val="baseline"/>
          <w:lang w:val="en-US" w:eastAsia="zh-CN" w:bidi="ar"/>
        </w:rPr>
        <w:t>事项，经协商一致，订立本合同。</w:t>
      </w:r>
    </w:p>
    <w:p w14:paraId="4B28876D">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一、服务名称：西安医学院未央校区通勤班车及教学等用车外包服务项目</w:t>
      </w:r>
    </w:p>
    <w:p w14:paraId="3F49379E">
      <w:pPr>
        <w:pStyle w:val="2"/>
        <w:numPr>
          <w:ilvl w:val="0"/>
          <w:numId w:val="0"/>
        </w:numPr>
        <w:spacing w:after="0" w:afterLines="0"/>
        <w:ind w:firstLine="480" w:firstLineChars="200"/>
        <w:rPr>
          <w:rFonts w:hint="eastAsia" w:ascii="仿宋" w:hAnsi="仿宋" w:eastAsia="仿宋" w:cs="仿宋"/>
          <w:b w:val="0"/>
          <w:bCs/>
          <w:color w:val="auto"/>
          <w:sz w:val="24"/>
          <w:szCs w:val="24"/>
          <w:u w:val="single"/>
          <w:lang w:val="en-US" w:eastAsia="zh-CN"/>
        </w:rPr>
      </w:pPr>
      <w:r>
        <w:rPr>
          <w:rFonts w:hint="eastAsia" w:ascii="仿宋" w:hAnsi="仿宋" w:eastAsia="仿宋" w:cs="仿宋"/>
          <w:b w:val="0"/>
          <w:bCs/>
          <w:color w:val="auto"/>
          <w:sz w:val="24"/>
          <w:szCs w:val="24"/>
          <w:lang w:val="en-US" w:eastAsia="zh-CN"/>
        </w:rPr>
        <w:t>二、项目内容：</w:t>
      </w:r>
    </w:p>
    <w:p w14:paraId="743929CB">
      <w:pPr>
        <w:pStyle w:val="2"/>
        <w:numPr>
          <w:ilvl w:val="0"/>
          <w:numId w:val="0"/>
        </w:numPr>
        <w:spacing w:after="0" w:afterLines="0"/>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1、保障我校含光校区至未央校区，教职工早、晚上下班通勤用车服务。</w:t>
      </w:r>
    </w:p>
    <w:p w14:paraId="3D8B9749">
      <w:pPr>
        <w:pStyle w:val="2"/>
        <w:numPr>
          <w:ilvl w:val="0"/>
          <w:numId w:val="0"/>
        </w:numPr>
        <w:spacing w:after="0" w:afterLines="0"/>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2、保障我校学生实习、见习、校外教学及职工用车等服务。</w:t>
      </w:r>
    </w:p>
    <w:p w14:paraId="23113834">
      <w:pPr>
        <w:pStyle w:val="2"/>
        <w:numPr>
          <w:ilvl w:val="0"/>
          <w:numId w:val="0"/>
        </w:numPr>
        <w:spacing w:after="0" w:afterLines="0"/>
        <w:ind w:firstLine="480" w:firstLineChars="200"/>
        <w:rPr>
          <w:rFonts w:hint="eastAsia" w:ascii="仿宋" w:hAnsi="仿宋" w:eastAsia="仿宋" w:cs="仿宋"/>
          <w:b w:val="0"/>
          <w:bCs/>
          <w:color w:val="auto"/>
          <w:sz w:val="24"/>
          <w:szCs w:val="24"/>
          <w:lang w:val="en-US" w:eastAsia="zh-CN"/>
        </w:rPr>
      </w:pPr>
      <w:r>
        <w:rPr>
          <w:rFonts w:hint="eastAsia" w:ascii="仿宋" w:hAnsi="仿宋" w:eastAsia="仿宋" w:cs="仿宋"/>
          <w:color w:val="auto"/>
          <w:sz w:val="24"/>
          <w:szCs w:val="24"/>
          <w:lang w:val="en-US" w:eastAsia="zh-CN"/>
        </w:rPr>
        <w:t>3、执行我校通勤班车各项工作制度要求及信息化管理。</w:t>
      </w:r>
    </w:p>
    <w:p w14:paraId="22C3ED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（2）服务标准：1、甲方每周工作时间：周一至周五(不含甲方寒暑假及各种法定节假日)，班车每个工作日接送职工上下班（早接晚送），沿固定路线</w:t>
      </w:r>
      <w:r>
        <w:rPr>
          <w:rFonts w:hint="eastAsia" w:ascii="仿宋" w:hAnsi="仿宋" w:eastAsia="仿宋" w:cs="仿宋"/>
          <w:color w:val="auto"/>
          <w:sz w:val="24"/>
          <w:szCs w:val="24"/>
          <w:lang w:val="en-US" w:eastAsia="zh-CN"/>
        </w:rPr>
        <w:t>站点</w:t>
      </w:r>
      <w:r>
        <w:rPr>
          <w:rFonts w:hint="eastAsia" w:ascii="仿宋" w:hAnsi="仿宋" w:eastAsia="仿宋" w:cs="仿宋"/>
          <w:color w:val="auto"/>
          <w:sz w:val="24"/>
          <w:szCs w:val="24"/>
        </w:rPr>
        <w:t>按时接送职工上下班，在每个站点严格按照路线站点时刻表规定时间进行停靠。</w:t>
      </w:r>
    </w:p>
    <w:p w14:paraId="676674FB">
      <w:pPr>
        <w:pStyle w:val="1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2、班车运行路线：</w:t>
      </w:r>
      <w:r>
        <w:rPr>
          <w:rFonts w:hint="eastAsia" w:ascii="仿宋" w:hAnsi="仿宋" w:eastAsia="仿宋" w:cs="仿宋"/>
          <w:b/>
          <w:color w:val="auto"/>
          <w:sz w:val="24"/>
          <w:szCs w:val="24"/>
        </w:rPr>
        <w:t>东线停靠班车</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辆/每天往返一趟，区间：含光校区到未央校区。</w:t>
      </w:r>
      <w:r>
        <w:rPr>
          <w:rFonts w:hint="eastAsia" w:ascii="仿宋" w:hAnsi="仿宋" w:eastAsia="仿宋" w:cs="仿宋"/>
          <w:b/>
          <w:color w:val="auto"/>
          <w:sz w:val="24"/>
          <w:szCs w:val="24"/>
        </w:rPr>
        <w:t>西线停靠班车</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辆/每天往返一趟，区间：含光校区到未央校区。发车时间：上午6:</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0时含光校区发车，下 午</w:t>
      </w:r>
      <w:r>
        <w:rPr>
          <w:rFonts w:hint="eastAsia" w:ascii="仿宋" w:hAnsi="仿宋" w:eastAsia="仿宋" w:cs="仿宋"/>
          <w:color w:val="auto"/>
          <w:sz w:val="24"/>
          <w:szCs w:val="24"/>
          <w:lang w:val="en-US" w:eastAsia="zh-CN"/>
        </w:rPr>
        <w:t>17</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55</w:t>
      </w:r>
      <w:r>
        <w:rPr>
          <w:rFonts w:hint="eastAsia" w:ascii="仿宋" w:hAnsi="仿宋" w:eastAsia="仿宋" w:cs="仿宋"/>
          <w:color w:val="auto"/>
          <w:sz w:val="24"/>
          <w:szCs w:val="24"/>
        </w:rPr>
        <w:t>时未央校区发车返回</w:t>
      </w:r>
      <w:r>
        <w:rPr>
          <w:rFonts w:hint="eastAsia" w:ascii="仿宋" w:hAnsi="仿宋" w:eastAsia="仿宋" w:cs="仿宋"/>
          <w:color w:val="auto"/>
          <w:sz w:val="24"/>
          <w:szCs w:val="24"/>
          <w:lang w:val="en-US" w:eastAsia="zh-CN"/>
        </w:rPr>
        <w:t>含光校区</w:t>
      </w:r>
      <w:r>
        <w:rPr>
          <w:rFonts w:hint="eastAsia" w:ascii="仿宋" w:hAnsi="仿宋" w:eastAsia="仿宋" w:cs="仿宋"/>
          <w:color w:val="auto"/>
          <w:sz w:val="24"/>
          <w:szCs w:val="24"/>
        </w:rPr>
        <w:t>。</w:t>
      </w:r>
    </w:p>
    <w:p w14:paraId="018CF4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3、如甲方要求乙方在公休日（周六日）、寒暑假、法定节假日提供上下班车辆服务，则需要提前一个工作日告知乙方，乙方必须保证甲方用车。</w:t>
      </w:r>
    </w:p>
    <w:p w14:paraId="5F3BE904">
      <w:pPr>
        <w:keepNext w:val="0"/>
        <w:keepLines w:val="0"/>
        <w:pageBreakBefore w:val="0"/>
        <w:numPr>
          <w:ilvl w:val="0"/>
          <w:numId w:val="0"/>
        </w:numPr>
        <w:kinsoku/>
        <w:wordWrap/>
        <w:overflowPunct/>
        <w:topLinePunct w:val="0"/>
        <w:autoSpaceDE/>
        <w:autoSpaceDN/>
        <w:bidi w:val="0"/>
        <w:adjustRightInd/>
        <w:snapToGrid/>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注：各路线详细班车停靠点及时刻表详见校官网。</w:t>
      </w:r>
    </w:p>
    <w:p w14:paraId="7468B60C">
      <w:pPr>
        <w:keepNext w:val="0"/>
        <w:keepLines w:val="0"/>
        <w:pageBreakBefore w:val="0"/>
        <w:widowControl w:val="0"/>
        <w:kinsoku/>
        <w:wordWrap/>
        <w:overflowPunct/>
        <w:topLinePunct w:val="0"/>
        <w:autoSpaceDE/>
        <w:autoSpaceDN/>
        <w:bidi w:val="0"/>
        <w:adjustRightInd/>
        <w:snapToGrid/>
        <w:spacing w:line="360" w:lineRule="auto"/>
        <w:ind w:left="396"/>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）服务人员数量及组成：通勤车</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辆/每天往返一趟，区间：含光校区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高新校区</w:t>
      </w:r>
      <w:r>
        <w:rPr>
          <w:rFonts w:hint="eastAsia" w:ascii="仿宋" w:hAnsi="仿宋" w:eastAsia="仿宋" w:cs="仿宋"/>
          <w:color w:val="auto"/>
          <w:sz w:val="24"/>
          <w:szCs w:val="24"/>
        </w:rPr>
        <w:t>往返未央校区。其中东线</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辆（沿途停靠），西线1辆（沿途停靠）。</w:t>
      </w:r>
    </w:p>
    <w:p w14:paraId="39544959">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注：具体发车时间</w:t>
      </w:r>
      <w:r>
        <w:rPr>
          <w:rFonts w:hint="eastAsia" w:ascii="仿宋" w:hAnsi="仿宋" w:eastAsia="仿宋" w:cs="仿宋"/>
          <w:color w:val="auto"/>
          <w:sz w:val="24"/>
          <w:szCs w:val="24"/>
          <w:lang w:val="en-US" w:eastAsia="zh-CN"/>
        </w:rPr>
        <w:t>数量</w:t>
      </w:r>
      <w:r>
        <w:rPr>
          <w:rFonts w:hint="eastAsia" w:ascii="仿宋" w:hAnsi="仿宋" w:eastAsia="仿宋" w:cs="仿宋"/>
          <w:color w:val="auto"/>
          <w:sz w:val="24"/>
          <w:szCs w:val="24"/>
        </w:rPr>
        <w:t>根据实际情况做相应调整。</w:t>
      </w:r>
      <w:r>
        <w:rPr>
          <w:rFonts w:hint="eastAsia" w:ascii="仿宋" w:hAnsi="仿宋" w:eastAsia="仿宋" w:cs="仿宋"/>
          <w:color w:val="auto"/>
          <w:sz w:val="24"/>
          <w:szCs w:val="24"/>
          <w:u w:val="none"/>
        </w:rPr>
        <w:t xml:space="preserve">   </w:t>
      </w:r>
      <w:r>
        <w:rPr>
          <w:rFonts w:hint="eastAsia" w:ascii="仿宋" w:hAnsi="仿宋" w:eastAsia="仿宋" w:cs="仿宋"/>
          <w:color w:val="auto"/>
          <w:sz w:val="24"/>
          <w:szCs w:val="24"/>
        </w:rPr>
        <w:t xml:space="preserve">      </w:t>
      </w:r>
    </w:p>
    <w:p w14:paraId="7A9C4A9E">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1、通勤车为（含驾驶员）48座（含）以上大型客车（燃油车或新能源车），</w:t>
      </w:r>
      <w:r>
        <w:rPr>
          <w:rFonts w:hint="eastAsia" w:ascii="仿宋" w:hAnsi="仿宋" w:eastAsia="仿宋" w:cs="仿宋"/>
          <w:b w:val="0"/>
          <w:bCs/>
          <w:color w:val="auto"/>
          <w:sz w:val="24"/>
          <w:szCs w:val="24"/>
        </w:rPr>
        <w:t>必须提供交通管理部门颁发的《中华人民共和国道路运输经营许可证》</w:t>
      </w:r>
      <w:r>
        <w:rPr>
          <w:rFonts w:hint="eastAsia" w:ascii="仿宋" w:hAnsi="仿宋" w:eastAsia="仿宋" w:cs="仿宋"/>
          <w:b w:val="0"/>
          <w:bCs/>
          <w:color w:val="auto"/>
          <w:sz w:val="24"/>
          <w:szCs w:val="24"/>
          <w:lang w:val="en-US" w:eastAsia="zh-CN"/>
        </w:rPr>
        <w:t>。</w:t>
      </w:r>
      <w:r>
        <w:rPr>
          <w:rFonts w:hint="eastAsia" w:ascii="仿宋" w:hAnsi="仿宋" w:eastAsia="仿宋" w:cs="仿宋"/>
          <w:color w:val="auto"/>
          <w:sz w:val="24"/>
          <w:szCs w:val="24"/>
          <w:lang w:val="en-US" w:eastAsia="zh-CN"/>
        </w:rPr>
        <w:t>车辆手续齐全，交强、商业险齐备，其中乘客座位险需100（含）万元以上。保证提供的车辆品牌为国内知名品牌，证照齐全，车况良好，空调暖风良好，5年内车辆，行驶公里数在10万公里以内，并保证车辆不是拼装车、下线车、报废车和个人机动车。2、配备驾驶员需要三证齐全，驾龄在6年以上，个人综合素质较高。最近3年内任意记分周期未记满12分，无致人伤亡的责任事故。上班期间驾驶员统一着装。</w:t>
      </w:r>
    </w:p>
    <w:p w14:paraId="43CE1A80">
      <w:pPr>
        <w:keepNext w:val="0"/>
        <w:keepLines w:val="0"/>
        <w:pageBreakBefore w:val="0"/>
        <w:numPr>
          <w:ilvl w:val="0"/>
          <w:numId w:val="0"/>
        </w:numPr>
        <w:kinsoku/>
        <w:wordWrap/>
        <w:overflowPunct/>
        <w:topLinePunct w:val="0"/>
        <w:autoSpaceDE/>
        <w:autoSpaceDN/>
        <w:bidi w:val="0"/>
        <w:adjustRightInd/>
        <w:snapToGrid/>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）其他要求：</w:t>
      </w:r>
      <w:r>
        <w:rPr>
          <w:rFonts w:hint="eastAsia" w:ascii="仿宋" w:hAnsi="仿宋" w:eastAsia="仿宋" w:cs="仿宋"/>
          <w:color w:val="auto"/>
          <w:sz w:val="24"/>
          <w:szCs w:val="24"/>
          <w:lang w:val="en-US" w:eastAsia="zh-CN"/>
        </w:rPr>
        <w:t>1、服务要求：平稳驾驶，不得急停急驶。保持车内干净卫生，不得随意更改线路，不得私自搭乘校外其他人员，不得随意更换车辆或驾驶员。本着服务第一的原则处理乘车途中教职工提出的合理要求。如</w:t>
      </w:r>
      <w:r>
        <w:rPr>
          <w:rFonts w:hint="eastAsia" w:ascii="仿宋" w:hAnsi="仿宋" w:eastAsia="仿宋" w:cs="仿宋"/>
          <w:color w:val="auto"/>
          <w:sz w:val="24"/>
          <w:szCs w:val="24"/>
        </w:rPr>
        <w:t>因乙方</w:t>
      </w:r>
      <w:r>
        <w:rPr>
          <w:rFonts w:hint="eastAsia" w:ascii="仿宋" w:hAnsi="仿宋" w:eastAsia="仿宋" w:cs="仿宋"/>
          <w:color w:val="auto"/>
          <w:sz w:val="24"/>
          <w:szCs w:val="24"/>
          <w:lang w:val="en-US" w:eastAsia="zh-CN"/>
        </w:rPr>
        <w:t>及驾驶员自身</w:t>
      </w:r>
      <w:r>
        <w:rPr>
          <w:rFonts w:hint="eastAsia" w:ascii="仿宋" w:hAnsi="仿宋" w:eastAsia="仿宋" w:cs="仿宋"/>
          <w:color w:val="auto"/>
          <w:sz w:val="24"/>
          <w:szCs w:val="24"/>
        </w:rPr>
        <w:t>原因未按约定时间发车，</w:t>
      </w:r>
      <w:r>
        <w:rPr>
          <w:rFonts w:hint="eastAsia" w:ascii="仿宋" w:hAnsi="仿宋" w:eastAsia="仿宋" w:cs="仿宋"/>
          <w:color w:val="auto"/>
          <w:sz w:val="24"/>
          <w:szCs w:val="24"/>
          <w:lang w:val="en-US" w:eastAsia="zh-CN"/>
        </w:rPr>
        <w:t>导致通勤车延误或教师发生冲突，</w:t>
      </w:r>
      <w:r>
        <w:rPr>
          <w:rFonts w:hint="eastAsia" w:ascii="仿宋" w:hAnsi="仿宋" w:eastAsia="仿宋" w:cs="仿宋"/>
          <w:color w:val="auto"/>
          <w:sz w:val="24"/>
          <w:szCs w:val="24"/>
        </w:rPr>
        <w:t>每次甲方将从当月租赁费用中扣除2000元/次</w:t>
      </w:r>
      <w:r>
        <w:rPr>
          <w:rFonts w:hint="eastAsia" w:ascii="仿宋" w:hAnsi="仿宋" w:eastAsia="仿宋" w:cs="仿宋"/>
          <w:color w:val="auto"/>
          <w:sz w:val="24"/>
          <w:szCs w:val="24"/>
          <w:lang w:val="en-US" w:eastAsia="zh-CN"/>
        </w:rPr>
        <w:t>，3次以上直至解除协议。2、因校方工作需要，包括（夜间、周末、假期）以及其他时段安排的任务用车，中标方须无条件保障，不得推脱，用车费用参照通勤车优惠价格，周末假期车辆因非执行学校任务的其他出行活动，不得使用学校标识，一切行为与学校无关，责任自负。3、如5辆车不能满足通勤及教学使用，如需增加车辆，中标方仍按合同价满足学校用车，如车辆有剩余，学校可以减少使用车辆。4、</w:t>
      </w:r>
      <w:r>
        <w:rPr>
          <w:rFonts w:hint="eastAsia" w:ascii="仿宋" w:hAnsi="仿宋" w:eastAsia="仿宋" w:cs="仿宋"/>
          <w:color w:val="auto"/>
          <w:sz w:val="24"/>
          <w:szCs w:val="24"/>
        </w:rPr>
        <w:t>学校除了定期向服务方支付</w:t>
      </w:r>
      <w:r>
        <w:rPr>
          <w:rFonts w:hint="eastAsia" w:ascii="仿宋" w:hAnsi="仿宋" w:eastAsia="仿宋" w:cs="仿宋"/>
          <w:color w:val="auto"/>
          <w:sz w:val="24"/>
          <w:szCs w:val="24"/>
          <w:lang w:val="en-US" w:eastAsia="zh-CN"/>
        </w:rPr>
        <w:t>租赁</w:t>
      </w:r>
      <w:r>
        <w:rPr>
          <w:rFonts w:hint="eastAsia" w:ascii="仿宋" w:hAnsi="仿宋" w:eastAsia="仿宋" w:cs="仿宋"/>
          <w:color w:val="auto"/>
          <w:sz w:val="24"/>
          <w:szCs w:val="24"/>
        </w:rPr>
        <w:t>费用外，不再负担任何其他费用。针对本项目服务方需要提供消防人员疏散等相关需求的演练、服务期间的安全（人员、财、物）保障措施预案。</w:t>
      </w:r>
    </w:p>
    <w:p w14:paraId="503D5881">
      <w:pPr>
        <w:keepNext w:val="0"/>
        <w:keepLines w:val="0"/>
        <w:pageBreakBefore w:val="0"/>
        <w:numPr>
          <w:ilvl w:val="0"/>
          <w:numId w:val="0"/>
        </w:numPr>
        <w:kinsoku/>
        <w:wordWrap/>
        <w:overflowPunct/>
        <w:topLinePunct w:val="0"/>
        <w:autoSpaceDE/>
        <w:autoSpaceDN/>
        <w:bidi w:val="0"/>
        <w:adjustRightInd/>
        <w:snapToGrid/>
        <w:spacing w:line="360" w:lineRule="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（若有服务项目清单，作为附件附在合同最后）</w:t>
      </w:r>
    </w:p>
    <w:p w14:paraId="7DD25BCD">
      <w:pPr>
        <w:keepNext w:val="0"/>
        <w:keepLines w:val="0"/>
        <w:pageBreakBefore w:val="0"/>
        <w:numPr>
          <w:ilvl w:val="0"/>
          <w:numId w:val="0"/>
        </w:numPr>
        <w:kinsoku/>
        <w:wordWrap/>
        <w:overflowPunct/>
        <w:topLinePunct w:val="0"/>
        <w:autoSpaceDE/>
        <w:autoSpaceDN/>
        <w:bidi w:val="0"/>
        <w:adjustRightInd/>
        <w:snapToGrid/>
        <w:spacing w:line="360" w:lineRule="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三、服务费用及支付方式</w:t>
      </w:r>
    </w:p>
    <w:p w14:paraId="3981A5CE">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60"/>
        <w:textAlignment w:val="baseline"/>
        <w:rPr>
          <w:rFonts w:hint="eastAsia" w:ascii="仿宋" w:hAnsi="仿宋" w:eastAsia="仿宋" w:cs="仿宋"/>
          <w:i w:val="0"/>
          <w:caps w:val="0"/>
          <w:color w:val="auto"/>
          <w:spacing w:val="0"/>
          <w:kern w:val="0"/>
          <w:sz w:val="24"/>
          <w:szCs w:val="24"/>
          <w:u w:val="none"/>
          <w:shd w:val="clear" w:fill="FFFFFF"/>
          <w:vertAlign w:val="baseline"/>
          <w:lang w:val="en-US" w:eastAsia="zh-CN" w:bidi="ar"/>
        </w:rPr>
      </w:pPr>
      <w:r>
        <w:rPr>
          <w:rFonts w:hint="eastAsia" w:ascii="仿宋" w:hAnsi="仿宋" w:eastAsia="仿宋" w:cs="仿宋"/>
          <w:color w:val="auto"/>
          <w:kern w:val="0"/>
          <w:sz w:val="24"/>
          <w:szCs w:val="24"/>
          <w:shd w:val="clear" w:color="auto" w:fill="FFFFFF"/>
          <w:lang w:val="en-US" w:eastAsia="zh-CN"/>
        </w:rPr>
        <w:t>1.本项目合同金额为</w:t>
      </w:r>
      <w:r>
        <w:rPr>
          <w:rFonts w:hint="eastAsia" w:ascii="仿宋" w:hAnsi="仿宋" w:eastAsia="仿宋" w:cs="仿宋"/>
          <w:color w:val="auto"/>
          <w:kern w:val="0"/>
          <w:sz w:val="24"/>
          <w:szCs w:val="24"/>
          <w:u w:val="single"/>
          <w:shd w:val="clear" w:color="auto" w:fill="FFFFFF"/>
          <w:lang w:val="en-US" w:eastAsia="zh-CN"/>
        </w:rPr>
        <w:t xml:space="preserve">       </w:t>
      </w:r>
      <w:r>
        <w:rPr>
          <w:rFonts w:hint="eastAsia" w:ascii="仿宋" w:hAnsi="仿宋" w:eastAsia="仿宋" w:cs="仿宋"/>
          <w:color w:val="auto"/>
          <w:kern w:val="0"/>
          <w:sz w:val="24"/>
          <w:szCs w:val="24"/>
          <w:u w:val="none"/>
          <w:shd w:val="clear" w:color="auto" w:fill="FFFFFF"/>
          <w:lang w:val="en-US" w:eastAsia="zh-CN"/>
        </w:rPr>
        <w:t>（含税）（大写人民币</w:t>
      </w:r>
      <w:r>
        <w:rPr>
          <w:rFonts w:hint="eastAsia" w:ascii="仿宋" w:hAnsi="仿宋" w:eastAsia="仿宋" w:cs="仿宋"/>
          <w:color w:val="auto"/>
          <w:kern w:val="0"/>
          <w:sz w:val="24"/>
          <w:szCs w:val="24"/>
          <w:u w:val="single"/>
          <w:shd w:val="clear" w:color="auto" w:fill="FFFFFF"/>
          <w:lang w:val="en-US" w:eastAsia="zh-CN"/>
        </w:rPr>
        <w:t xml:space="preserve">     元整</w:t>
      </w:r>
      <w:r>
        <w:rPr>
          <w:rFonts w:hint="eastAsia" w:ascii="仿宋" w:hAnsi="仿宋" w:eastAsia="仿宋" w:cs="仿宋"/>
          <w:color w:val="auto"/>
          <w:kern w:val="0"/>
          <w:sz w:val="24"/>
          <w:szCs w:val="24"/>
          <w:u w:val="none"/>
          <w:shd w:val="clear" w:color="auto" w:fill="FFFFFF"/>
          <w:lang w:val="en-US" w:eastAsia="zh-CN"/>
        </w:rPr>
        <w:t>）。</w:t>
      </w:r>
      <w:r>
        <w:rPr>
          <w:rFonts w:hint="eastAsia" w:ascii="仿宋" w:hAnsi="仿宋" w:eastAsia="仿宋" w:cs="仿宋"/>
          <w:color w:val="auto"/>
          <w:kern w:val="0"/>
          <w:sz w:val="24"/>
          <w:szCs w:val="24"/>
          <w:shd w:val="clear" w:color="auto" w:fill="FFFFFF"/>
        </w:rPr>
        <w:t>乙方服务</w:t>
      </w:r>
      <w:r>
        <w:rPr>
          <w:rFonts w:hint="eastAsia" w:ascii="仿宋" w:hAnsi="仿宋" w:eastAsia="仿宋" w:cs="仿宋"/>
          <w:color w:val="auto"/>
          <w:kern w:val="0"/>
          <w:sz w:val="24"/>
          <w:szCs w:val="24"/>
          <w:shd w:val="clear" w:color="auto" w:fill="FFFFFF"/>
          <w:lang w:val="en-US" w:eastAsia="zh-CN"/>
        </w:rPr>
        <w:t>期结束之日起</w:t>
      </w:r>
      <w:r>
        <w:rPr>
          <w:rFonts w:hint="eastAsia" w:ascii="仿宋" w:hAnsi="仿宋" w:eastAsia="仿宋" w:cs="仿宋"/>
          <w:color w:val="auto"/>
          <w:kern w:val="0"/>
          <w:sz w:val="24"/>
          <w:szCs w:val="24"/>
          <w:u w:val="single"/>
          <w:shd w:val="clear" w:color="auto" w:fill="FFFFFF"/>
          <w:lang w:val="en-US" w:eastAsia="zh-CN"/>
        </w:rPr>
        <w:t xml:space="preserve">    </w:t>
      </w:r>
      <w:r>
        <w:rPr>
          <w:rFonts w:hint="eastAsia" w:ascii="仿宋" w:hAnsi="仿宋" w:eastAsia="仿宋" w:cs="仿宋"/>
          <w:color w:val="auto"/>
          <w:kern w:val="0"/>
          <w:sz w:val="24"/>
          <w:szCs w:val="24"/>
          <w:shd w:val="clear" w:color="auto" w:fill="FFFFFF"/>
          <w:lang w:val="en-US" w:eastAsia="zh-CN"/>
        </w:rPr>
        <w:t>个工作日内</w:t>
      </w:r>
      <w:r>
        <w:rPr>
          <w:rFonts w:hint="eastAsia" w:ascii="仿宋" w:hAnsi="仿宋" w:eastAsia="仿宋" w:cs="仿宋"/>
          <w:color w:val="auto"/>
          <w:kern w:val="0"/>
          <w:sz w:val="24"/>
          <w:szCs w:val="24"/>
          <w:shd w:val="clear" w:color="auto" w:fill="FFFFFF"/>
        </w:rPr>
        <w:t>，乙方向甲方开具符合甲方要求的等额合法增值税</w:t>
      </w:r>
      <w:r>
        <w:rPr>
          <w:rFonts w:hint="eastAsia" w:ascii="仿宋" w:hAnsi="仿宋" w:eastAsia="仿宋" w:cs="仿宋"/>
          <w:color w:val="auto"/>
          <w:kern w:val="0"/>
          <w:sz w:val="24"/>
          <w:szCs w:val="24"/>
          <w:shd w:val="clear" w:color="auto" w:fill="FFFFFF"/>
          <w:lang w:val="en-US" w:eastAsia="zh-CN"/>
        </w:rPr>
        <w:t>发票（普通发票/专用发票）</w:t>
      </w:r>
      <w:r>
        <w:rPr>
          <w:rFonts w:hint="eastAsia" w:ascii="仿宋" w:hAnsi="仿宋" w:eastAsia="仿宋" w:cs="仿宋"/>
          <w:color w:val="auto"/>
          <w:kern w:val="0"/>
          <w:sz w:val="24"/>
          <w:szCs w:val="24"/>
          <w:shd w:val="clear" w:color="auto" w:fill="FFFFFF"/>
          <w:lang w:eastAsia="zh-CN"/>
        </w:rPr>
        <w:t>，</w:t>
      </w:r>
      <w:r>
        <w:rPr>
          <w:rFonts w:hint="eastAsia" w:ascii="仿宋" w:hAnsi="仿宋" w:eastAsia="仿宋" w:cs="仿宋"/>
          <w:color w:val="auto"/>
          <w:kern w:val="0"/>
          <w:sz w:val="24"/>
          <w:szCs w:val="24"/>
          <w:shd w:val="clear" w:color="auto" w:fill="FFFFFF"/>
          <w:lang w:val="en-US" w:eastAsia="zh-CN"/>
        </w:rPr>
        <w:t>税率</w:t>
      </w:r>
      <w:r>
        <w:rPr>
          <w:rFonts w:hint="eastAsia" w:ascii="仿宋" w:hAnsi="仿宋" w:eastAsia="仿宋" w:cs="仿宋"/>
          <w:color w:val="auto"/>
          <w:kern w:val="0"/>
          <w:sz w:val="24"/>
          <w:szCs w:val="24"/>
          <w:u w:val="single"/>
          <w:shd w:val="clear" w:color="auto" w:fill="FFFFFF"/>
          <w:lang w:val="en-US" w:eastAsia="zh-CN"/>
        </w:rPr>
        <w:t xml:space="preserve">   </w:t>
      </w:r>
      <w:r>
        <w:rPr>
          <w:rFonts w:hint="eastAsia" w:ascii="仿宋" w:hAnsi="仿宋" w:eastAsia="仿宋" w:cs="仿宋"/>
          <w:color w:val="auto"/>
          <w:kern w:val="0"/>
          <w:sz w:val="24"/>
          <w:szCs w:val="24"/>
          <w:shd w:val="clear" w:color="auto" w:fill="FFFFFF"/>
          <w:lang w:val="en-US" w:eastAsia="zh-CN"/>
        </w:rPr>
        <w:t>%，</w:t>
      </w:r>
      <w:r>
        <w:rPr>
          <w:rFonts w:hint="eastAsia" w:ascii="仿宋" w:hAnsi="仿宋" w:eastAsia="仿宋" w:cs="仿宋"/>
          <w:color w:val="auto"/>
          <w:kern w:val="0"/>
          <w:sz w:val="24"/>
          <w:szCs w:val="24"/>
          <w:shd w:val="clear" w:color="auto" w:fill="FFFFFF"/>
        </w:rPr>
        <w:t>甲方以转账方式向乙方支付合同总金额的</w:t>
      </w:r>
      <w:r>
        <w:rPr>
          <w:rFonts w:hint="eastAsia" w:ascii="仿宋" w:hAnsi="仿宋" w:eastAsia="仿宋" w:cs="仿宋"/>
          <w:color w:val="auto"/>
          <w:kern w:val="0"/>
          <w:sz w:val="24"/>
          <w:szCs w:val="24"/>
          <w:u w:val="single"/>
          <w:shd w:val="clear" w:color="auto" w:fill="FFFFFF"/>
          <w:lang w:val="en-US" w:eastAsia="zh-CN"/>
        </w:rPr>
        <w:t xml:space="preserve">    %</w:t>
      </w:r>
      <w:r>
        <w:rPr>
          <w:rFonts w:hint="eastAsia" w:ascii="仿宋" w:hAnsi="仿宋" w:eastAsia="仿宋" w:cs="仿宋"/>
          <w:color w:val="auto"/>
          <w:kern w:val="0"/>
          <w:sz w:val="24"/>
          <w:szCs w:val="24"/>
          <w:u w:val="none"/>
          <w:shd w:val="clear" w:color="auto" w:fill="FFFFFF"/>
          <w:lang w:val="en-US" w:eastAsia="zh-CN"/>
        </w:rPr>
        <w:t>，金额为</w:t>
      </w:r>
      <w:r>
        <w:rPr>
          <w:rFonts w:hint="eastAsia" w:ascii="仿宋" w:hAnsi="仿宋" w:eastAsia="仿宋" w:cs="仿宋"/>
          <w:color w:val="auto"/>
          <w:kern w:val="0"/>
          <w:sz w:val="24"/>
          <w:szCs w:val="24"/>
          <w:u w:val="single"/>
          <w:shd w:val="clear" w:color="auto" w:fill="FFFFFF"/>
          <w:lang w:val="en-US" w:eastAsia="zh-CN"/>
        </w:rPr>
        <w:t xml:space="preserve">     </w:t>
      </w:r>
      <w:r>
        <w:rPr>
          <w:rFonts w:hint="eastAsia" w:ascii="仿宋" w:hAnsi="仿宋" w:eastAsia="仿宋" w:cs="仿宋"/>
          <w:i w:val="0"/>
          <w:caps w:val="0"/>
          <w:color w:val="auto"/>
          <w:spacing w:val="0"/>
          <w:kern w:val="0"/>
          <w:sz w:val="24"/>
          <w:szCs w:val="24"/>
          <w:u w:val="none"/>
          <w:shd w:val="clear" w:fill="FFFFFF"/>
          <w:vertAlign w:val="baseline"/>
          <w:lang w:val="en-US" w:eastAsia="zh-CN" w:bidi="ar"/>
        </w:rPr>
        <w:t>，</w:t>
      </w:r>
      <w:r>
        <w:rPr>
          <w:rFonts w:hint="eastAsia" w:ascii="仿宋" w:hAnsi="仿宋" w:eastAsia="仿宋" w:cs="仿宋"/>
          <w:color w:val="auto"/>
          <w:sz w:val="24"/>
          <w:szCs w:val="24"/>
          <w:lang w:val="en-US" w:eastAsia="zh-CN"/>
        </w:rPr>
        <w:t>乙方拒不开票或者开票不符合甲方要求的，甲方有权拒不付款且不承担任何违约责任。</w:t>
      </w:r>
    </w:p>
    <w:p w14:paraId="1DE996C7">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60"/>
        <w:textAlignment w:val="baseline"/>
        <w:rPr>
          <w:rFonts w:hint="eastAsia" w:ascii="仿宋" w:hAnsi="仿宋" w:eastAsia="仿宋" w:cs="仿宋"/>
          <w:color w:val="auto"/>
          <w:kern w:val="0"/>
          <w:sz w:val="24"/>
          <w:szCs w:val="24"/>
          <w:shd w:val="clear" w:color="auto" w:fill="FFFFFF"/>
          <w:lang w:val="en-US" w:eastAsia="zh-CN"/>
        </w:rPr>
      </w:pPr>
      <w:r>
        <w:rPr>
          <w:rFonts w:hint="eastAsia" w:ascii="仿宋" w:hAnsi="仿宋" w:eastAsia="仿宋" w:cs="仿宋"/>
          <w:color w:val="auto"/>
          <w:kern w:val="0"/>
          <w:sz w:val="24"/>
          <w:szCs w:val="24"/>
          <w:shd w:val="clear" w:color="auto" w:fill="FFFFFF"/>
          <w:lang w:val="en-US" w:eastAsia="zh-CN"/>
        </w:rPr>
        <w:t>2.</w:t>
      </w:r>
      <w:r>
        <w:rPr>
          <w:rFonts w:hint="eastAsia" w:ascii="仿宋" w:hAnsi="仿宋" w:eastAsia="仿宋" w:cs="仿宋"/>
          <w:color w:val="auto"/>
          <w:sz w:val="24"/>
          <w:szCs w:val="24"/>
        </w:rPr>
        <w:t>按</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rPr>
        <w:t>结算，合同费用每</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rPr>
        <w:t>结算一次</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如遇节假日寒暑假顺延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采购方</w:t>
      </w:r>
      <w:r>
        <w:rPr>
          <w:rFonts w:hint="eastAsia" w:ascii="仿宋" w:hAnsi="仿宋" w:eastAsia="仿宋" w:cs="仿宋"/>
          <w:color w:val="auto"/>
          <w:sz w:val="24"/>
          <w:szCs w:val="24"/>
        </w:rPr>
        <w:t>根据上月实际出车趟数结算费用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采购</w:t>
      </w:r>
      <w:r>
        <w:rPr>
          <w:rFonts w:hint="eastAsia" w:ascii="仿宋" w:hAnsi="仿宋" w:eastAsia="仿宋" w:cs="仿宋"/>
          <w:color w:val="auto"/>
          <w:sz w:val="24"/>
          <w:szCs w:val="24"/>
          <w:lang w:val="en-US" w:eastAsia="zh-CN"/>
        </w:rPr>
        <w:t>方</w:t>
      </w:r>
      <w:r>
        <w:rPr>
          <w:rFonts w:hint="eastAsia" w:ascii="仿宋" w:hAnsi="仿宋" w:eastAsia="仿宋" w:cs="仿宋"/>
          <w:color w:val="auto"/>
          <w:sz w:val="24"/>
          <w:szCs w:val="24"/>
        </w:rPr>
        <w:t>收到发票后</w:t>
      </w:r>
      <w:r>
        <w:rPr>
          <w:rFonts w:hint="eastAsia" w:ascii="仿宋" w:hAnsi="仿宋" w:eastAsia="仿宋" w:cs="仿宋"/>
          <w:color w:val="auto"/>
          <w:sz w:val="24"/>
          <w:szCs w:val="24"/>
          <w:lang w:val="en-US" w:eastAsia="zh-CN"/>
        </w:rPr>
        <w:t>30日历内</w:t>
      </w:r>
      <w:r>
        <w:rPr>
          <w:rFonts w:hint="eastAsia" w:ascii="仿宋" w:hAnsi="仿宋" w:eastAsia="仿宋" w:cs="仿宋"/>
          <w:color w:val="auto"/>
          <w:sz w:val="24"/>
          <w:szCs w:val="24"/>
        </w:rPr>
        <w:t>支付</w:t>
      </w:r>
      <w:r>
        <w:rPr>
          <w:rFonts w:hint="eastAsia" w:ascii="仿宋" w:hAnsi="仿宋" w:eastAsia="仿宋" w:cs="仿宋"/>
          <w:color w:val="auto"/>
          <w:sz w:val="24"/>
          <w:szCs w:val="24"/>
          <w:lang w:val="en-US" w:eastAsia="zh-CN"/>
        </w:rPr>
        <w:t>相应</w:t>
      </w:r>
      <w:r>
        <w:rPr>
          <w:rFonts w:hint="eastAsia" w:ascii="仿宋" w:hAnsi="仿宋" w:eastAsia="仿宋" w:cs="仿宋"/>
          <w:color w:val="auto"/>
          <w:sz w:val="24"/>
          <w:szCs w:val="24"/>
        </w:rPr>
        <w:t>的服务费。支付方式：银行转账。乙方提供国家正规发票。</w:t>
      </w:r>
    </w:p>
    <w:p w14:paraId="51F3FB45">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560"/>
        <w:textAlignment w:val="baseline"/>
        <w:rPr>
          <w:rFonts w:hint="eastAsia" w:ascii="仿宋" w:hAnsi="仿宋" w:eastAsia="仿宋" w:cs="仿宋"/>
          <w:color w:val="auto"/>
          <w:kern w:val="0"/>
          <w:sz w:val="24"/>
          <w:szCs w:val="24"/>
          <w:shd w:val="clear" w:color="auto" w:fill="FFFFFF"/>
          <w:lang w:val="en-US" w:eastAsia="zh-CN"/>
        </w:rPr>
      </w:pPr>
      <w:r>
        <w:rPr>
          <w:rFonts w:hint="eastAsia" w:ascii="仿宋" w:hAnsi="仿宋" w:eastAsia="仿宋" w:cs="仿宋"/>
          <w:color w:val="auto"/>
          <w:kern w:val="0"/>
          <w:sz w:val="24"/>
          <w:szCs w:val="24"/>
          <w:shd w:val="clear" w:color="auto" w:fill="FFFFFF"/>
        </w:rPr>
        <w:t>本合同总金额包含完成合同服务内容所必需的人员、设备、材料等费用，包括但不限于劳务费、差旅费、设备使用费、材料费、折旧费、运输费、保险费、税费等履行本合同所需的一切费用。对于据实结算的服务采购，须列明服务单项报价，最终实际结算金额不得超过本合同约定的服务费用总金额。</w:t>
      </w:r>
    </w:p>
    <w:p w14:paraId="10552EF9">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2.甲方开票发票要求：</w:t>
      </w:r>
    </w:p>
    <w:p w14:paraId="6158AAC4">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（1）单位名称：</w:t>
      </w:r>
      <w:r>
        <w:rPr>
          <w:rFonts w:hint="eastAsia" w:ascii="仿宋" w:hAnsi="仿宋" w:eastAsia="仿宋" w:cs="仿宋"/>
          <w:color w:val="auto"/>
          <w:sz w:val="24"/>
          <w:szCs w:val="24"/>
        </w:rPr>
        <w:t>西安医学院</w:t>
      </w:r>
    </w:p>
    <w:p w14:paraId="6A8C6E51">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（2）单位账号：</w:t>
      </w:r>
      <w:r>
        <w:rPr>
          <w:rFonts w:hint="eastAsia" w:ascii="仿宋" w:hAnsi="仿宋" w:eastAsia="仿宋" w:cs="仿宋"/>
          <w:color w:val="auto"/>
          <w:sz w:val="24"/>
          <w:szCs w:val="24"/>
        </w:rPr>
        <w:t>61001865200050000482</w:t>
      </w:r>
    </w:p>
    <w:p w14:paraId="033A46E3">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（3）开户行：</w:t>
      </w:r>
      <w:r>
        <w:rPr>
          <w:rFonts w:hint="eastAsia" w:ascii="仿宋" w:hAnsi="仿宋" w:eastAsia="仿宋" w:cs="仿宋"/>
          <w:color w:val="auto"/>
          <w:sz w:val="24"/>
          <w:szCs w:val="24"/>
        </w:rPr>
        <w:t>建设银行西安含光路支行</w:t>
      </w:r>
    </w:p>
    <w:p w14:paraId="39B2CF63">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（4）纳税人识别号:126100004352006429</w:t>
      </w:r>
    </w:p>
    <w:p w14:paraId="4B676C8F">
      <w:pPr>
        <w:ind w:firstLine="240" w:firstLineChars="1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（5）单位地址:</w:t>
      </w:r>
      <w:r>
        <w:rPr>
          <w:rFonts w:hint="eastAsia" w:ascii="仿宋" w:hAnsi="仿宋" w:eastAsia="仿宋" w:cs="仿宋"/>
          <w:color w:val="auto"/>
          <w:sz w:val="24"/>
          <w:szCs w:val="24"/>
        </w:rPr>
        <w:t>西安市未央区新王路1号</w:t>
      </w:r>
    </w:p>
    <w:p w14:paraId="4B7EEED7">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3.乙方收款账户信息：</w:t>
      </w:r>
    </w:p>
    <w:p w14:paraId="2712F846">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（1）单位名称：</w:t>
      </w:r>
    </w:p>
    <w:p w14:paraId="60DB440E">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pP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 xml:space="preserve">（2）单位账号：                </w:t>
      </w:r>
    </w:p>
    <w:p w14:paraId="488A4DAA">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pP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 xml:space="preserve">（3）开户行 ：               </w:t>
      </w:r>
    </w:p>
    <w:p w14:paraId="0C240FC2">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（4）</w:t>
      </w:r>
      <w:r>
        <w:rPr>
          <w:rFonts w:hint="eastAsia" w:ascii="仿宋" w:hAnsi="仿宋" w:eastAsia="仿宋" w:cs="仿宋"/>
          <w:color w:val="auto"/>
          <w:kern w:val="0"/>
          <w:sz w:val="24"/>
          <w:szCs w:val="24"/>
          <w:shd w:val="clear" w:color="auto" w:fill="FFFFFF"/>
          <w:lang w:val="en-US" w:eastAsia="zh-CN" w:bidi="ar-SA"/>
        </w:rPr>
        <w:t>纳税人识别号:</w:t>
      </w:r>
    </w:p>
    <w:p w14:paraId="3A7083FC">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（5）单位地址：</w:t>
      </w:r>
    </w:p>
    <w:p w14:paraId="7A046E33">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（6）供应商规模：（大型企业/中型企业/小微型企业/其他）</w:t>
      </w:r>
    </w:p>
    <w:p w14:paraId="108E1D7F">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（7）供应商特殊性质：（监狱企业/残疾人福利性单位/其他）</w:t>
      </w:r>
    </w:p>
    <w:p w14:paraId="4107B4B4">
      <w:pPr>
        <w:pStyle w:val="5"/>
        <w:keepNext w:val="0"/>
        <w:keepLines w:val="0"/>
        <w:pageBreakBefore w:val="0"/>
        <w:kinsoku/>
        <w:wordWrap/>
        <w:overflowPunct/>
        <w:topLinePunct w:val="0"/>
        <w:autoSpaceDE/>
        <w:autoSpaceDN/>
        <w:bidi w:val="0"/>
        <w:adjustRightInd/>
        <w:snapToGrid/>
        <w:spacing w:line="360" w:lineRule="auto"/>
        <w:ind w:left="0" w:leftChars="0" w:firstLine="240" w:firstLineChars="100"/>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注：开户行、单位名称、单位账号如有变更，变更一方应在合同规定的相关付款期限前二十天内以书面方式通知对方，如未按时通知或通知有误而影响结算者，所产生的责任及损失自行承担。</w:t>
      </w:r>
    </w:p>
    <w:p w14:paraId="1152BEE3">
      <w:pPr>
        <w:pStyle w:val="5"/>
        <w:ind w:left="0" w:leftChars="0" w:firstLine="0" w:firstLineChars="0"/>
        <w:rPr>
          <w:rFonts w:hint="eastAsia" w:ascii="仿宋" w:hAnsi="仿宋" w:eastAsia="仿宋" w:cs="仿宋"/>
          <w:b w:val="0"/>
          <w:bCs w:val="0"/>
          <w:color w:val="auto"/>
          <w:kern w:val="0"/>
          <w:sz w:val="24"/>
          <w:szCs w:val="24"/>
          <w:shd w:val="clear" w:color="auto" w:fill="FFFFFF"/>
          <w:lang w:val="en-US" w:eastAsia="zh-CN" w:bidi="ar-SA"/>
        </w:rPr>
      </w:pPr>
      <w:r>
        <w:rPr>
          <w:rFonts w:hint="eastAsia" w:ascii="仿宋" w:hAnsi="仿宋" w:eastAsia="仿宋" w:cs="仿宋"/>
          <w:b w:val="0"/>
          <w:bCs w:val="0"/>
          <w:color w:val="auto"/>
          <w:kern w:val="0"/>
          <w:sz w:val="24"/>
          <w:szCs w:val="24"/>
          <w:shd w:val="clear" w:color="auto" w:fill="FFFFFF"/>
          <w:lang w:val="en-US" w:eastAsia="zh-CN" w:bidi="ar-SA"/>
        </w:rPr>
        <w:t>四、服务期限及服务地点</w:t>
      </w:r>
    </w:p>
    <w:p w14:paraId="3518FA80">
      <w:pPr>
        <w:spacing w:line="360" w:lineRule="auto"/>
        <w:ind w:firstLine="480" w:firstLineChars="200"/>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pP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1.本项目服务期限：</w:t>
      </w:r>
      <w:r>
        <w:rPr>
          <w:rFonts w:hint="eastAsia" w:ascii="仿宋" w:hAnsi="仿宋" w:eastAsia="仿宋" w:cs="仿宋"/>
          <w:i w:val="0"/>
          <w:caps w:val="0"/>
          <w:color w:val="auto"/>
          <w:spacing w:val="0"/>
          <w:kern w:val="0"/>
          <w:sz w:val="24"/>
          <w:szCs w:val="24"/>
          <w:highlight w:val="none"/>
          <w:u w:val="single"/>
          <w:shd w:val="clear" w:fill="FFFFFF"/>
          <w:vertAlign w:val="baseline"/>
          <w:lang w:val="en-US" w:eastAsia="zh-CN" w:bidi="ar"/>
        </w:rPr>
        <w:t xml:space="preserve"> 2025 </w:t>
      </w: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年</w:t>
      </w:r>
      <w:r>
        <w:rPr>
          <w:rFonts w:hint="eastAsia" w:ascii="仿宋" w:hAnsi="仿宋" w:eastAsia="仿宋" w:cs="仿宋"/>
          <w:i w:val="0"/>
          <w:caps w:val="0"/>
          <w:color w:val="auto"/>
          <w:spacing w:val="0"/>
          <w:kern w:val="0"/>
          <w:sz w:val="24"/>
          <w:szCs w:val="24"/>
          <w:highlight w:val="none"/>
          <w:u w:val="single"/>
          <w:shd w:val="clear" w:fill="FFFFFF"/>
          <w:vertAlign w:val="baseline"/>
          <w:lang w:val="en-US" w:eastAsia="zh-CN" w:bidi="ar"/>
        </w:rPr>
        <w:t xml:space="preserve"> 06 </w:t>
      </w: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月</w:t>
      </w:r>
      <w:r>
        <w:rPr>
          <w:rFonts w:hint="eastAsia" w:ascii="仿宋" w:hAnsi="仿宋" w:eastAsia="仿宋" w:cs="仿宋"/>
          <w:i w:val="0"/>
          <w:caps w:val="0"/>
          <w:color w:val="auto"/>
          <w:spacing w:val="0"/>
          <w:kern w:val="0"/>
          <w:sz w:val="24"/>
          <w:szCs w:val="24"/>
          <w:highlight w:val="none"/>
          <w:u w:val="single"/>
          <w:shd w:val="clear" w:fill="FFFFFF"/>
          <w:vertAlign w:val="baseline"/>
          <w:lang w:val="en-US" w:eastAsia="zh-CN" w:bidi="ar"/>
        </w:rPr>
        <w:t xml:space="preserve"> 01 </w:t>
      </w: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日 至</w:t>
      </w:r>
      <w:r>
        <w:rPr>
          <w:rFonts w:hint="eastAsia" w:ascii="仿宋" w:hAnsi="仿宋" w:eastAsia="仿宋" w:cs="仿宋"/>
          <w:i w:val="0"/>
          <w:caps w:val="0"/>
          <w:color w:val="auto"/>
          <w:spacing w:val="0"/>
          <w:kern w:val="0"/>
          <w:sz w:val="24"/>
          <w:szCs w:val="24"/>
          <w:highlight w:val="none"/>
          <w:u w:val="single"/>
          <w:shd w:val="clear" w:fill="FFFFFF"/>
          <w:vertAlign w:val="baseline"/>
          <w:lang w:val="en-US" w:eastAsia="zh-CN" w:bidi="ar"/>
        </w:rPr>
        <w:t xml:space="preserve"> 2026 </w:t>
      </w: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年</w:t>
      </w:r>
      <w:r>
        <w:rPr>
          <w:rFonts w:hint="eastAsia" w:ascii="仿宋" w:hAnsi="仿宋" w:eastAsia="仿宋" w:cs="仿宋"/>
          <w:i w:val="0"/>
          <w:caps w:val="0"/>
          <w:color w:val="auto"/>
          <w:spacing w:val="0"/>
          <w:kern w:val="0"/>
          <w:sz w:val="24"/>
          <w:szCs w:val="24"/>
          <w:highlight w:val="none"/>
          <w:u w:val="single"/>
          <w:shd w:val="clear" w:fill="FFFFFF"/>
          <w:vertAlign w:val="baseline"/>
          <w:lang w:val="en-US" w:eastAsia="zh-CN" w:bidi="ar"/>
        </w:rPr>
        <w:t xml:space="preserve"> 05 </w:t>
      </w: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月</w:t>
      </w:r>
      <w:r>
        <w:rPr>
          <w:rFonts w:hint="eastAsia" w:ascii="仿宋" w:hAnsi="仿宋" w:eastAsia="仿宋" w:cs="仿宋"/>
          <w:i w:val="0"/>
          <w:caps w:val="0"/>
          <w:color w:val="auto"/>
          <w:spacing w:val="0"/>
          <w:kern w:val="0"/>
          <w:sz w:val="24"/>
          <w:szCs w:val="24"/>
          <w:highlight w:val="none"/>
          <w:u w:val="single"/>
          <w:shd w:val="clear" w:fill="FFFFFF"/>
          <w:vertAlign w:val="baseline"/>
          <w:lang w:val="en-US" w:eastAsia="zh-CN" w:bidi="ar"/>
        </w:rPr>
        <w:t xml:space="preserve">  31 </w:t>
      </w: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日。</w:t>
      </w:r>
    </w:p>
    <w:p w14:paraId="553744BC">
      <w:pPr>
        <w:pStyle w:val="5"/>
        <w:ind w:left="0" w:leftChars="0" w:firstLine="480" w:firstLineChars="200"/>
        <w:rPr>
          <w:rFonts w:hint="eastAsia" w:ascii="仿宋" w:hAnsi="仿宋" w:eastAsia="仿宋" w:cs="仿宋"/>
          <w:i w:val="0"/>
          <w:caps w:val="0"/>
          <w:color w:val="auto"/>
          <w:spacing w:val="0"/>
          <w:kern w:val="0"/>
          <w:sz w:val="24"/>
          <w:szCs w:val="24"/>
          <w:highlight w:val="none"/>
          <w:u w:val="single"/>
          <w:shd w:val="clear" w:fill="FFFFFF"/>
          <w:vertAlign w:val="baseline"/>
          <w:lang w:val="en-US" w:eastAsia="zh-CN" w:bidi="ar"/>
        </w:rPr>
      </w:pP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2.服务实施地点：</w:t>
      </w:r>
      <w:r>
        <w:rPr>
          <w:rFonts w:hint="eastAsia" w:ascii="仿宋" w:hAnsi="仿宋" w:eastAsia="仿宋" w:cs="仿宋"/>
          <w:i w:val="0"/>
          <w:caps w:val="0"/>
          <w:color w:val="auto"/>
          <w:spacing w:val="0"/>
          <w:kern w:val="0"/>
          <w:sz w:val="24"/>
          <w:szCs w:val="24"/>
          <w:highlight w:val="none"/>
          <w:u w:val="single"/>
          <w:shd w:val="clear" w:fill="FFFFFF"/>
          <w:vertAlign w:val="baseline"/>
          <w:lang w:val="en-US" w:eastAsia="zh-CN" w:bidi="ar"/>
        </w:rPr>
        <w:t xml:space="preserve">  西安医学院指定地点    </w:t>
      </w:r>
    </w:p>
    <w:p w14:paraId="6614D61B">
      <w:pPr>
        <w:pStyle w:val="5"/>
        <w:ind w:left="0" w:leftChars="0" w:firstLine="0" w:firstLineChars="0"/>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pP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五、服务质量保证</w:t>
      </w:r>
    </w:p>
    <w:p w14:paraId="6A8ADDC3">
      <w:pPr>
        <w:pStyle w:val="11"/>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1.乙方按照本合同前款所述的服务时间、地点、内容、数量和质量等要求向甲方提供服务，在服务期限内，若乙方提供的服务未达到约定的数量、质量等标准，应当及时更换、补齐或提升服务质量水平至本合同要求的标准。</w:t>
      </w:r>
    </w:p>
    <w:p w14:paraId="72BDA0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2.乙方根据甲方提供的场地、设施或材料等条件完成服务内容。乙方保证所提供的服务必须符合本合同服务项目质量标准要求及相关的国家标准、行业标准、地方标准或者其他标准、规范，并自觉接受甲方监督。</w:t>
      </w:r>
    </w:p>
    <w:p w14:paraId="77A763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3．乙方应具有提供本合同所载服务应当具有的各项资质及专业技术人员，乙方工作人员应遵守甲方以及学校相关的规章制度，文明操作，安全服务；由于乙方的管理失误或乙方工作人员的过错造成的损失，由乙方承担全部责任，甲方保留追究乙方相关责任的权利。</w:t>
      </w:r>
    </w:p>
    <w:p w14:paraId="402BA2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4．如果乙方工作人员在服务中，未尽安全义务，有可能出现伤害自身或威胁到他人生命、财产安全的情况，甲方以及相关人员有权立即要求中止服务，由此产生的一切费用及损失由乙方自行承担，甲方不承担任何责任。</w:t>
      </w:r>
    </w:p>
    <w:p w14:paraId="2B0F70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shd w:val="clear" w:color="auto" w:fill="FFFFFF"/>
          <w:lang w:val="en-US" w:eastAsia="zh-CN" w:bidi="ar-SA"/>
        </w:rPr>
      </w:pPr>
      <w:r>
        <w:rPr>
          <w:rFonts w:hint="eastAsia" w:ascii="仿宋" w:hAnsi="仿宋" w:eastAsia="仿宋" w:cs="仿宋"/>
          <w:color w:val="auto"/>
          <w:kern w:val="0"/>
          <w:sz w:val="24"/>
          <w:szCs w:val="24"/>
          <w:shd w:val="clear" w:color="auto" w:fill="FFFFFF"/>
          <w:lang w:val="en-US" w:eastAsia="zh-CN" w:bidi="ar-SA"/>
        </w:rPr>
        <w:t>5.乙方应确保向甲方提供服务的过程中不存在侵犯甲方或第三方知识产权、名誉权、隐私权等合法权利的情况，保证甲方免受任何第三方主张任何权利。</w:t>
      </w:r>
    </w:p>
    <w:p w14:paraId="655F2E7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pPr>
      <w:r>
        <w:rPr>
          <w:rFonts w:hint="eastAsia" w:ascii="仿宋" w:hAnsi="仿宋" w:eastAsia="仿宋" w:cs="仿宋"/>
          <w:color w:val="auto"/>
          <w:kern w:val="0"/>
          <w:sz w:val="24"/>
          <w:szCs w:val="24"/>
          <w:shd w:val="clear" w:color="auto" w:fill="FFFFFF"/>
          <w:lang w:val="en-US" w:eastAsia="zh-CN" w:bidi="ar-SA"/>
        </w:rPr>
        <w:t>6.服务期及质量保证期内乙方未在约定时间内做出服务响应的，甲方有权安排第三方提供服务，由此产生的费用全部由乙方承担。因此给甲方造成损失的，乙方应当承担全部赔偿责任。</w:t>
      </w:r>
    </w:p>
    <w:p w14:paraId="12E1E6C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pP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六、验收方法及标准</w:t>
      </w:r>
    </w:p>
    <w:p w14:paraId="574E3CE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pP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乙方保证提供的服务质量应符合中华人民共和国相关标准及相应的技术规范、本次采购相关文件中的全部相关要求及乙方相关服务标准及相应的技术规范中之较高者。</w:t>
      </w:r>
    </w:p>
    <w:p w14:paraId="36021D0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pP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服务完毕之日起</w:t>
      </w:r>
      <w:r>
        <w:rPr>
          <w:rFonts w:hint="eastAsia" w:ascii="仿宋" w:hAnsi="仿宋" w:eastAsia="仿宋" w:cs="仿宋"/>
          <w:i w:val="0"/>
          <w:caps w:val="0"/>
          <w:color w:val="auto"/>
          <w:spacing w:val="0"/>
          <w:kern w:val="0"/>
          <w:sz w:val="24"/>
          <w:szCs w:val="24"/>
          <w:highlight w:val="none"/>
          <w:u w:val="single"/>
          <w:shd w:val="clear" w:fill="FFFFFF"/>
          <w:vertAlign w:val="baseline"/>
          <w:lang w:val="en-US" w:eastAsia="zh-CN" w:bidi="ar"/>
        </w:rPr>
        <w:t xml:space="preserve">    </w:t>
      </w:r>
      <w:r>
        <w:rPr>
          <w:rFonts w:hint="eastAsia" w:ascii="仿宋" w:hAnsi="仿宋" w:eastAsia="仿宋" w:cs="仿宋"/>
          <w:i w:val="0"/>
          <w:caps w:val="0"/>
          <w:color w:val="auto"/>
          <w:spacing w:val="0"/>
          <w:kern w:val="0"/>
          <w:sz w:val="24"/>
          <w:szCs w:val="24"/>
          <w:highlight w:val="none"/>
          <w:u w:val="none"/>
          <w:shd w:val="clear" w:fill="FFFFFF"/>
          <w:vertAlign w:val="baseline"/>
          <w:lang w:val="en-US" w:eastAsia="zh-CN" w:bidi="ar"/>
        </w:rPr>
        <w:t>天内，乙方可向甲方提出书面验收申请，甲方与乙方以合同文本中描述的有关技术要求为准，出具验收报告。</w:t>
      </w:r>
    </w:p>
    <w:p w14:paraId="36212D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监管考核工作由</w:t>
      </w:r>
      <w:r>
        <w:rPr>
          <w:rFonts w:hint="eastAsia" w:ascii="仿宋" w:hAnsi="仿宋" w:eastAsia="仿宋" w:cs="仿宋"/>
          <w:color w:val="auto"/>
          <w:sz w:val="24"/>
          <w:szCs w:val="24"/>
        </w:rPr>
        <w:t>后勤保障</w:t>
      </w:r>
      <w:r>
        <w:rPr>
          <w:rFonts w:hint="eastAsia" w:ascii="仿宋" w:hAnsi="仿宋" w:eastAsia="仿宋" w:cs="仿宋"/>
          <w:color w:val="auto"/>
          <w:sz w:val="24"/>
          <w:szCs w:val="24"/>
          <w:lang w:val="en-US" w:eastAsia="zh-CN"/>
        </w:rPr>
        <w:t>主管部门</w:t>
      </w:r>
      <w:r>
        <w:rPr>
          <w:rFonts w:hint="eastAsia" w:ascii="仿宋" w:hAnsi="仿宋" w:eastAsia="仿宋" w:cs="仿宋"/>
          <w:color w:val="auto"/>
          <w:sz w:val="24"/>
          <w:szCs w:val="24"/>
        </w:rPr>
        <w:t>对供应商工作进行考核。</w:t>
      </w:r>
      <w:r>
        <w:rPr>
          <w:rFonts w:hint="eastAsia" w:ascii="仿宋" w:hAnsi="仿宋" w:eastAsia="仿宋" w:cs="仿宋"/>
          <w:color w:val="auto"/>
          <w:sz w:val="24"/>
          <w:szCs w:val="24"/>
          <w:lang w:val="en-US" w:eastAsia="zh-CN"/>
        </w:rPr>
        <w:t>不定期开展师生满意度调查</w:t>
      </w:r>
      <w:r>
        <w:rPr>
          <w:rFonts w:hint="eastAsia" w:ascii="仿宋" w:hAnsi="仿宋" w:eastAsia="仿宋" w:cs="仿宋"/>
          <w:color w:val="auto"/>
          <w:sz w:val="24"/>
          <w:szCs w:val="24"/>
        </w:rPr>
        <w:t>。</w:t>
      </w:r>
    </w:p>
    <w:p w14:paraId="7A3E18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考核验收结果分为四个层次： </w:t>
      </w:r>
    </w:p>
    <w:p w14:paraId="310813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优秀：90 分以上（含）；</w:t>
      </w:r>
    </w:p>
    <w:p w14:paraId="5E36BA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良</w:t>
      </w:r>
      <w:r>
        <w:rPr>
          <w:rFonts w:hint="eastAsia" w:ascii="仿宋" w:hAnsi="仿宋" w:eastAsia="仿宋" w:cs="仿宋"/>
          <w:color w:val="auto"/>
          <w:sz w:val="24"/>
          <w:szCs w:val="24"/>
          <w:lang w:val="en-US" w:eastAsia="zh-CN"/>
        </w:rPr>
        <w:t>好</w:t>
      </w:r>
      <w:r>
        <w:rPr>
          <w:rFonts w:hint="eastAsia" w:ascii="仿宋" w:hAnsi="仿宋" w:eastAsia="仿宋" w:cs="仿宋"/>
          <w:color w:val="auto"/>
          <w:sz w:val="24"/>
          <w:szCs w:val="24"/>
        </w:rPr>
        <w:t>：90 分以下,80 分以上（含）</w:t>
      </w:r>
      <w:r>
        <w:rPr>
          <w:rFonts w:hint="eastAsia" w:ascii="仿宋" w:hAnsi="仿宋" w:eastAsia="仿宋" w:cs="仿宋"/>
          <w:color w:val="auto"/>
          <w:sz w:val="24"/>
          <w:szCs w:val="24"/>
          <w:lang w:eastAsia="zh-CN"/>
        </w:rPr>
        <w:t>；</w:t>
      </w:r>
    </w:p>
    <w:p w14:paraId="229D91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合格：80 分以下，70 分以上（含）；</w:t>
      </w:r>
    </w:p>
    <w:p w14:paraId="717E78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不合格：70 分以下（</w:t>
      </w:r>
      <w:r>
        <w:rPr>
          <w:rFonts w:hint="eastAsia" w:ascii="仿宋" w:hAnsi="仿宋" w:eastAsia="仿宋" w:cs="仿宋"/>
          <w:color w:val="auto"/>
          <w:sz w:val="24"/>
          <w:szCs w:val="24"/>
          <w:lang w:val="en-US" w:eastAsia="zh-CN"/>
        </w:rPr>
        <w:t>不</w:t>
      </w:r>
      <w:r>
        <w:rPr>
          <w:rFonts w:hint="eastAsia" w:ascii="仿宋" w:hAnsi="仿宋" w:eastAsia="仿宋" w:cs="仿宋"/>
          <w:color w:val="auto"/>
          <w:sz w:val="24"/>
          <w:szCs w:val="24"/>
        </w:rPr>
        <w:t>含）。</w:t>
      </w:r>
    </w:p>
    <w:p w14:paraId="71D6195E">
      <w:pPr>
        <w:pStyle w:val="2"/>
        <w:numPr>
          <w:ilvl w:val="0"/>
          <w:numId w:val="0"/>
        </w:numPr>
        <w:spacing w:after="0" w:afterLines="0" w:line="240" w:lineRule="auto"/>
        <w:jc w:val="both"/>
        <w:rPr>
          <w:rFonts w:hint="eastAsia" w:ascii="仿宋" w:hAnsi="仿宋" w:eastAsia="仿宋" w:cs="仿宋"/>
          <w:color w:val="auto"/>
          <w:sz w:val="24"/>
          <w:szCs w:val="24"/>
          <w:lang w:val="en-US" w:eastAsia="zh-CN"/>
        </w:rPr>
      </w:pPr>
      <w:r>
        <w:rPr>
          <w:rFonts w:hint="eastAsia" w:ascii="仿宋" w:hAnsi="仿宋" w:eastAsia="仿宋" w:cs="仿宋"/>
          <w:b w:val="0"/>
          <w:bCs w:val="0"/>
          <w:color w:val="auto"/>
          <w:sz w:val="24"/>
          <w:szCs w:val="24"/>
          <w:lang w:val="en-US" w:eastAsia="zh-CN"/>
        </w:rPr>
        <w:t>注：考核两次不合格，不予续签合同。</w:t>
      </w:r>
    </w:p>
    <w:p w14:paraId="15DA7F12">
      <w:pPr>
        <w:pStyle w:val="2"/>
        <w:numPr>
          <w:ilvl w:val="0"/>
          <w:numId w:val="0"/>
        </w:numPr>
        <w:spacing w:after="0" w:afterLines="0"/>
        <w:ind w:left="48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评分分类：</w:t>
      </w:r>
    </w:p>
    <w:p w14:paraId="6041183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1、车辆设施设备满意度2、车内卫生环境满意度3、安全驾驶行为满意度4、文明用语及行为满意度5、服务满意度6、投诉问题解决满意度。</w:t>
      </w:r>
    </w:p>
    <w:p w14:paraId="2C562F2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附件：通勤班车考核表</w:t>
      </w:r>
    </w:p>
    <w:p w14:paraId="0908902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黑体" w:hAnsi="黑体" w:eastAsia="黑体" w:cs="黑体"/>
          <w:b w:val="0"/>
          <w:bCs/>
          <w:i w:val="0"/>
          <w:caps w:val="0"/>
          <w:color w:val="auto"/>
          <w:spacing w:val="0"/>
          <w:kern w:val="0"/>
          <w:sz w:val="24"/>
          <w:szCs w:val="24"/>
          <w:shd w:val="clear" w:fill="FFFFFF"/>
          <w:vertAlign w:val="baseline"/>
          <w:lang w:val="en-US" w:eastAsia="zh-CN" w:bidi="ar"/>
        </w:rPr>
      </w:pPr>
      <w:r>
        <w:rPr>
          <w:rFonts w:hint="eastAsia" w:ascii="黑体" w:hAnsi="黑体" w:eastAsia="黑体" w:cs="黑体"/>
          <w:b w:val="0"/>
          <w:bCs/>
          <w:i w:val="0"/>
          <w:caps w:val="0"/>
          <w:color w:val="auto"/>
          <w:spacing w:val="0"/>
          <w:kern w:val="0"/>
          <w:sz w:val="24"/>
          <w:szCs w:val="24"/>
          <w:shd w:val="clear" w:fill="FFFFFF"/>
          <w:vertAlign w:val="baseline"/>
          <w:lang w:val="en-US" w:eastAsia="zh-CN" w:bidi="ar"/>
        </w:rPr>
        <w:t>七、 违约责任</w:t>
      </w:r>
    </w:p>
    <w:p w14:paraId="1A43EA0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1.合同生效后，甲乙双方应按合同规定认真履约。</w:t>
      </w:r>
    </w:p>
    <w:p w14:paraId="35AE732E">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2.</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乙方若因非不可抗力因素无法按时提供服务，乙方应从要求最迟服务起始日期的次日起，每日向甲方支付未提供服务部分的服务款的【】%的违约金，逾期超过【】日的，甲方有权解除本合同。因此，给甲方造成损失的，乙方应当承担全部赔偿责任。</w:t>
      </w:r>
    </w:p>
    <w:p w14:paraId="0F587984">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3.除不可抗力原因外，如遇下列情况之一者，甲方有权单方面</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解除</w:t>
      </w: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合同，</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乙方应当向甲方支付合同总价款【】%的违约金，并赔偿因此给甲方造成的全部损失:（1）合同签订后不能按合同时限要求提供服务；（2）所供服务不合格或与合同不符；（3）不能按合同履约；（4）甲方要求乙方提供服务，经甲方要求24小时内无响应，或48小时内不能提供服务方案或服务的，或者经甲方催促后仍不能整改或提供服务不达标的。</w:t>
      </w:r>
    </w:p>
    <w:p w14:paraId="50B47414">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4.</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乙方对所供服务出现的问题推托、拖延，未在约定时间内做出服务响应的，每逾期一日按合同总金额【】%支付违约金。</w:t>
      </w:r>
    </w:p>
    <w:p w14:paraId="57A7CAB4">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5</w:t>
      </w: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w:t>
      </w: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合同履约过程中，甲方应积极配合乙方进行验收以及验收前的外围配套等工作。</w:t>
      </w:r>
    </w:p>
    <w:p w14:paraId="6C29C6BF">
      <w:pPr>
        <w:pStyle w:val="5"/>
        <w:ind w:left="0" w:leftChars="0" w:firstLine="480" w:firstLineChars="200"/>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6.本合同履行过程中，任意一方未及时履行相关义务，经守约方催告后仍未履行的，守约方可于催告期满后解除本合同，由此产生的相应损失，由违约方承担。</w:t>
      </w:r>
    </w:p>
    <w:p w14:paraId="4A65D738">
      <w:pPr>
        <w:pStyle w:val="5"/>
        <w:ind w:left="0" w:leftChars="0" w:firstLine="480" w:firstLineChars="200"/>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7未经甲方许可，乙方不得擅自将本合同约定的全部或部分义务转让给第三方，否则甲方有权解除本合同，乙方应当向甲方支付本合同总价款【】%的违约金。同时，给甲方造成损失的，乙方应承担全部赔偿责任。</w:t>
      </w:r>
    </w:p>
    <w:p w14:paraId="1EF0542A">
      <w:pPr>
        <w:pStyle w:val="5"/>
        <w:ind w:left="0" w:leftChars="0" w:firstLine="480" w:firstLineChars="200"/>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8乙方应当对本合同履行过程中获取的甲方相关数据及资料承担保密义务，保密期限为长期。乙方违反本合同约定的保密义务的，应当向甲方承担本合同总价款【】%的违约金并立即采取补救措施。同时，甲方有权解除本合同。同时，给甲方造成损失的，乙方应当承担全部赔偿责任。</w:t>
      </w:r>
    </w:p>
    <w:p w14:paraId="4C4EFE1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黑体" w:hAnsi="黑体" w:eastAsia="黑体" w:cs="黑体"/>
          <w:b w:val="0"/>
          <w:bCs/>
          <w:i w:val="0"/>
          <w:caps w:val="0"/>
          <w:color w:val="auto"/>
          <w:spacing w:val="0"/>
          <w:kern w:val="0"/>
          <w:sz w:val="24"/>
          <w:szCs w:val="24"/>
          <w:shd w:val="clear" w:fill="FFFFFF"/>
          <w:vertAlign w:val="baseline"/>
          <w:lang w:val="en-US" w:eastAsia="zh-CN" w:bidi="ar"/>
        </w:rPr>
      </w:pPr>
      <w:r>
        <w:rPr>
          <w:rFonts w:hint="eastAsia" w:ascii="黑体" w:hAnsi="黑体" w:eastAsia="黑体" w:cs="黑体"/>
          <w:b w:val="0"/>
          <w:bCs/>
          <w:i w:val="0"/>
          <w:caps w:val="0"/>
          <w:color w:val="auto"/>
          <w:spacing w:val="0"/>
          <w:kern w:val="0"/>
          <w:sz w:val="24"/>
          <w:szCs w:val="24"/>
          <w:shd w:val="clear" w:fill="FFFFFF"/>
          <w:vertAlign w:val="baseline"/>
          <w:lang w:val="en-US" w:eastAsia="zh-CN" w:bidi="ar"/>
        </w:rPr>
        <w:t>八、不可抗力</w:t>
      </w:r>
    </w:p>
    <w:p w14:paraId="7FD87D3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1.不可抗力是指本合同生效后，发生合同订立时不能预见、不能避免，并不能克服的客观情况，如地震、台风、水灾、战争等，致使直接影响本合同的履行或不能按约定的条件履行。</w:t>
      </w:r>
    </w:p>
    <w:p w14:paraId="5D1EEE5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2.发生不可抗力的一方应立即通知对方，并在十五天内提供不可抗力的详情及将有关证明文件送交对方。</w:t>
      </w:r>
    </w:p>
    <w:p w14:paraId="25F95D9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3.发生不可抗力事件时，甲乙双方应协商以寻找合理的解决方法，双方不可放任不可抗力事件损害后果。</w:t>
      </w:r>
    </w:p>
    <w:p w14:paraId="24A522D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eastAsia"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4.如不可抗力事件持续三十天时，甲乙双方应友好协商解决本合同是否继续履行或终止的问题。</w:t>
      </w:r>
    </w:p>
    <w:p w14:paraId="70B7CBF9">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b w:val="0"/>
          <w:bCs w:val="0"/>
          <w:i w:val="0"/>
          <w:caps w:val="0"/>
          <w:color w:val="auto"/>
          <w:spacing w:val="0"/>
          <w:kern w:val="0"/>
          <w:sz w:val="24"/>
          <w:szCs w:val="24"/>
          <w:highlight w:val="none"/>
          <w:u w:val="none"/>
          <w:shd w:val="clear" w:fill="FFFFFF"/>
          <w:vertAlign w:val="baseline"/>
          <w:lang w:val="en-US" w:eastAsia="zh-CN" w:bidi="ar"/>
        </w:rPr>
      </w:pPr>
      <w:r>
        <w:rPr>
          <w:rFonts w:hint="eastAsia" w:ascii="黑体" w:hAnsi="黑体" w:eastAsia="黑体" w:cs="黑体"/>
          <w:b w:val="0"/>
          <w:bCs w:val="0"/>
          <w:i w:val="0"/>
          <w:caps w:val="0"/>
          <w:color w:val="auto"/>
          <w:spacing w:val="0"/>
          <w:kern w:val="0"/>
          <w:sz w:val="24"/>
          <w:szCs w:val="24"/>
          <w:highlight w:val="none"/>
          <w:u w:val="none"/>
          <w:shd w:val="clear" w:fill="FFFFFF"/>
          <w:vertAlign w:val="baseline"/>
          <w:lang w:val="en-US" w:eastAsia="zh-CN" w:bidi="ar"/>
        </w:rPr>
        <w:t>九、合同生效与终止</w:t>
      </w:r>
    </w:p>
    <w:p w14:paraId="2D3461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1.本合同自甲乙双方签字且盖章之日起生效。本合同双方法定代表人或委托代理人签字并加盖单位公章之日即为本合同的生效日期。如双方签字日期不一致时，以最后签字方的签字日期为合同的生效日期。</w:t>
      </w:r>
    </w:p>
    <w:p w14:paraId="2D9D9A5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2.保密条款、争议解决和双方未了的债权和债务不受合同期满的影响，并且守约方有权提出索赔。</w:t>
      </w:r>
    </w:p>
    <w:p w14:paraId="76A6180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pPr>
      <w:r>
        <w:rPr>
          <w:rFonts w:hint="default" w:ascii="Times New Roman" w:hAnsi="Times New Roman" w:eastAsia="方正仿宋_GB2312" w:cs="Times New Roman"/>
          <w:i w:val="0"/>
          <w:caps w:val="0"/>
          <w:color w:val="auto"/>
          <w:spacing w:val="0"/>
          <w:kern w:val="0"/>
          <w:sz w:val="24"/>
          <w:szCs w:val="24"/>
          <w:highlight w:val="none"/>
          <w:u w:val="none"/>
          <w:shd w:val="clear" w:fill="FFFFFF"/>
          <w:vertAlign w:val="baseline"/>
          <w:lang w:val="en-US" w:eastAsia="zh-CN" w:bidi="ar"/>
        </w:rPr>
        <w:t>3.如乙方未能全面履行合同所有条款，甲方有权单方面解除合同，不退还乙方所交履约保证金（如有），以此作为乙方对甲方的赔偿，并保留追究相关责任的权利。</w:t>
      </w:r>
    </w:p>
    <w:p w14:paraId="29D54A9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黑体" w:hAnsi="黑体" w:eastAsia="黑体" w:cs="黑体"/>
          <w:b w:val="0"/>
          <w:bCs/>
          <w:i w:val="0"/>
          <w:caps w:val="0"/>
          <w:color w:val="auto"/>
          <w:spacing w:val="0"/>
          <w:sz w:val="24"/>
          <w:szCs w:val="24"/>
          <w:highlight w:val="none"/>
        </w:rPr>
      </w:pPr>
      <w:r>
        <w:rPr>
          <w:rFonts w:hint="eastAsia" w:ascii="黑体" w:hAnsi="黑体" w:eastAsia="黑体" w:cs="黑体"/>
          <w:b w:val="0"/>
          <w:bCs/>
          <w:i w:val="0"/>
          <w:caps w:val="0"/>
          <w:color w:val="auto"/>
          <w:spacing w:val="0"/>
          <w:kern w:val="0"/>
          <w:sz w:val="24"/>
          <w:szCs w:val="24"/>
          <w:highlight w:val="none"/>
          <w:shd w:val="clear" w:fill="FFFFFF"/>
          <w:vertAlign w:val="baseline"/>
          <w:lang w:val="en-US" w:eastAsia="zh-CN" w:bidi="ar"/>
        </w:rPr>
        <w:t>十、 解决争议的方法</w:t>
      </w:r>
    </w:p>
    <w:p w14:paraId="3F10BE5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562"/>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 本合同在履行过程中发生的争议</w:t>
      </w:r>
      <w:r>
        <w:rPr>
          <w:rFonts w:hint="eastAsia"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本合同在执行过程中发生争执，双方应协商解决，协商不成时，任何一方均可向甲方所在地有管辖权的人民法院提起诉讼。</w:t>
      </w:r>
    </w:p>
    <w:p w14:paraId="5E001F94">
      <w:pPr>
        <w:keepNext w:val="0"/>
        <w:keepLines w:val="0"/>
        <w:pageBreakBefore w:val="0"/>
        <w:widowControl/>
        <w:numPr>
          <w:ilvl w:val="-1"/>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baseline"/>
        <w:rPr>
          <w:rFonts w:hint="eastAsia" w:ascii="黑体" w:hAnsi="黑体" w:eastAsia="黑体" w:cs="黑体"/>
          <w:b w:val="0"/>
          <w:bCs/>
          <w:i w:val="0"/>
          <w:caps w:val="0"/>
          <w:color w:val="auto"/>
          <w:spacing w:val="0"/>
          <w:kern w:val="0"/>
          <w:sz w:val="24"/>
          <w:szCs w:val="24"/>
          <w:highlight w:val="none"/>
          <w:shd w:val="clear" w:fill="FFFFFF"/>
          <w:vertAlign w:val="baseline"/>
          <w:lang w:val="en-US" w:eastAsia="zh-CN" w:bidi="ar"/>
        </w:rPr>
      </w:pPr>
      <w:r>
        <w:rPr>
          <w:rFonts w:hint="eastAsia" w:ascii="黑体" w:hAnsi="黑体" w:eastAsia="黑体" w:cs="黑体"/>
          <w:b w:val="0"/>
          <w:bCs/>
          <w:i w:val="0"/>
          <w:caps w:val="0"/>
          <w:color w:val="auto"/>
          <w:spacing w:val="0"/>
          <w:kern w:val="0"/>
          <w:sz w:val="24"/>
          <w:szCs w:val="24"/>
          <w:highlight w:val="none"/>
          <w:shd w:val="clear" w:fill="FFFFFF"/>
          <w:vertAlign w:val="baseline"/>
          <w:lang w:val="en-US" w:eastAsia="zh-CN" w:bidi="ar"/>
        </w:rPr>
        <w:t>十一 其他规定</w:t>
      </w:r>
    </w:p>
    <w:p w14:paraId="79EA7B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firstLine="562"/>
        <w:jc w:val="left"/>
        <w:textAlignment w:val="baseline"/>
        <w:rPr>
          <w:rFonts w:ascii="Times New Roman" w:hAnsi="Times New Roman" w:eastAsia="方正仿宋_GB2312" w:cs="Times New Roman"/>
          <w:color w:val="auto"/>
          <w:kern w:val="0"/>
          <w:sz w:val="24"/>
          <w:szCs w:val="24"/>
          <w:highlight w:val="none"/>
          <w:shd w:val="clear" w:fill="FFFFFF"/>
          <w:lang w:bidi="ar"/>
        </w:rPr>
      </w:pP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 1</w:t>
      </w:r>
      <w:r>
        <w:rPr>
          <w:rFonts w:hint="eastAsia"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.合同的</w:t>
      </w:r>
      <w:r>
        <w:rPr>
          <w:rFonts w:hint="default" w:ascii="Times New Roman" w:hAnsi="Times New Roman" w:eastAsia="方正仿宋_GB2312" w:cs="Times New Roman"/>
          <w:color w:val="auto"/>
          <w:kern w:val="0"/>
          <w:sz w:val="24"/>
          <w:szCs w:val="24"/>
          <w:highlight w:val="none"/>
          <w:shd w:val="clear" w:fill="FFFFFF"/>
          <w:lang w:val="en-US" w:eastAsia="zh-CN" w:bidi="ar"/>
        </w:rPr>
        <w:t>主要条款应当与招标文件和</w:t>
      </w:r>
      <w:r>
        <w:rPr>
          <w:rFonts w:hint="eastAsia" w:ascii="Times New Roman" w:hAnsi="Times New Roman" w:eastAsia="方正仿宋_GB2312" w:cs="Times New Roman"/>
          <w:color w:val="auto"/>
          <w:kern w:val="0"/>
          <w:sz w:val="24"/>
          <w:szCs w:val="24"/>
          <w:highlight w:val="none"/>
          <w:shd w:val="clear" w:fill="FFFFFF"/>
          <w:lang w:val="en-US" w:eastAsia="zh-CN" w:bidi="ar"/>
        </w:rPr>
        <w:t>乙方</w:t>
      </w:r>
      <w:r>
        <w:rPr>
          <w:rFonts w:hint="default" w:ascii="Times New Roman" w:hAnsi="Times New Roman" w:eastAsia="方正仿宋_GB2312" w:cs="Times New Roman"/>
          <w:color w:val="auto"/>
          <w:kern w:val="0"/>
          <w:sz w:val="24"/>
          <w:szCs w:val="24"/>
          <w:highlight w:val="none"/>
          <w:shd w:val="clear" w:fill="FFFFFF"/>
          <w:lang w:val="en-US" w:eastAsia="zh-CN" w:bidi="ar"/>
        </w:rPr>
        <w:t>的投标文件的内容</w:t>
      </w:r>
      <w:r>
        <w:rPr>
          <w:rFonts w:hint="eastAsia" w:ascii="Times New Roman" w:hAnsi="Times New Roman" w:eastAsia="方正仿宋_GB2312" w:cs="Times New Roman"/>
          <w:color w:val="auto"/>
          <w:kern w:val="0"/>
          <w:sz w:val="24"/>
          <w:szCs w:val="24"/>
          <w:highlight w:val="none"/>
          <w:shd w:val="clear" w:fill="FFFFFF"/>
          <w:lang w:val="en-US" w:eastAsia="zh-CN" w:bidi="ar"/>
        </w:rPr>
        <w:t>保持</w:t>
      </w:r>
      <w:r>
        <w:rPr>
          <w:rFonts w:hint="default" w:ascii="Times New Roman" w:hAnsi="Times New Roman" w:eastAsia="方正仿宋_GB2312" w:cs="Times New Roman"/>
          <w:color w:val="auto"/>
          <w:kern w:val="0"/>
          <w:sz w:val="24"/>
          <w:szCs w:val="24"/>
          <w:highlight w:val="none"/>
          <w:shd w:val="clear" w:fill="FFFFFF"/>
          <w:lang w:val="en-US" w:eastAsia="zh-CN" w:bidi="ar"/>
        </w:rPr>
        <w:t>一致</w:t>
      </w:r>
      <w:r>
        <w:rPr>
          <w:rFonts w:hint="eastAsia" w:ascii="Times New Roman" w:hAnsi="Times New Roman" w:eastAsia="方正仿宋_GB2312" w:cs="Times New Roman"/>
          <w:color w:val="auto"/>
          <w:kern w:val="0"/>
          <w:sz w:val="24"/>
          <w:szCs w:val="24"/>
          <w:highlight w:val="none"/>
          <w:shd w:val="clear" w:fill="FFFFFF"/>
          <w:lang w:val="en-US" w:eastAsia="zh-CN" w:bidi="ar"/>
        </w:rPr>
        <w:t>，双方</w:t>
      </w:r>
      <w:r>
        <w:rPr>
          <w:rFonts w:hint="default" w:ascii="Times New Roman" w:hAnsi="Times New Roman" w:eastAsia="方正仿宋_GB2312" w:cs="Times New Roman"/>
          <w:color w:val="auto"/>
          <w:kern w:val="0"/>
          <w:sz w:val="24"/>
          <w:szCs w:val="24"/>
          <w:highlight w:val="none"/>
          <w:shd w:val="clear" w:fill="FFFFFF"/>
          <w:lang w:val="en-US" w:eastAsia="zh-CN" w:bidi="ar"/>
        </w:rPr>
        <w:t>不得再行订立背离合同实质性内容的其他协议”</w:t>
      </w:r>
      <w:r>
        <w:rPr>
          <w:rFonts w:hint="eastAsia" w:ascii="Times New Roman" w:hAnsi="Times New Roman" w:eastAsia="方正仿宋_GB2312" w:cs="Times New Roman"/>
          <w:color w:val="auto"/>
          <w:kern w:val="0"/>
          <w:sz w:val="24"/>
          <w:szCs w:val="24"/>
          <w:highlight w:val="none"/>
          <w:shd w:val="clear" w:fill="FFFFFF"/>
          <w:lang w:val="en-US" w:eastAsia="zh-CN" w:bidi="ar"/>
        </w:rPr>
        <w:t>。</w:t>
      </w:r>
    </w:p>
    <w:p w14:paraId="6B692A4D">
      <w:pPr>
        <w:keepNext w:val="0"/>
        <w:keepLines w:val="0"/>
        <w:widowControl/>
        <w:pBdr>
          <w:top w:val="none" w:color="auto" w:sz="0" w:space="0"/>
          <w:left w:val="none" w:color="auto" w:sz="0" w:space="0"/>
          <w:bottom w:val="none" w:color="auto" w:sz="0" w:space="0"/>
          <w:right w:val="none" w:color="auto" w:sz="0" w:space="0"/>
        </w:pBdr>
        <w:shd w:val="clear" w:fill="FFFFFF"/>
        <w:spacing w:line="360" w:lineRule="auto"/>
        <w:ind w:firstLine="562"/>
        <w:jc w:val="left"/>
        <w:rPr>
          <w:rFonts w:hint="eastAsia"/>
          <w:color w:val="auto"/>
          <w:sz w:val="24"/>
          <w:szCs w:val="24"/>
          <w:lang w:val="en-US" w:eastAsia="zh-CN"/>
        </w:rPr>
      </w:pPr>
      <w:r>
        <w:rPr>
          <w:rFonts w:hint="default" w:ascii="Times New Roman" w:hAnsi="Times New Roman" w:eastAsia="方正仿宋_GB2312" w:cs="Times New Roman"/>
          <w:b w:val="0"/>
          <w:i w:val="0"/>
          <w:caps w:val="0"/>
          <w:color w:val="auto"/>
          <w:spacing w:val="0"/>
          <w:kern w:val="0"/>
          <w:sz w:val="24"/>
          <w:szCs w:val="24"/>
          <w:highlight w:val="none"/>
          <w:shd w:val="clear" w:fill="FFFFFF"/>
          <w:vertAlign w:val="baseline"/>
          <w:lang w:val="en-US" w:eastAsia="zh-CN" w:bidi="ar"/>
        </w:rPr>
        <w:t>2. </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 双方约定的其它事项（双方根据相关法律法规的规定和合同性质的需要协商一致确定的条款，如保密条款、安全条款、廉洁条款等）。</w:t>
      </w:r>
    </w:p>
    <w:p w14:paraId="03BA3A8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baseline"/>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pPr>
      <w:r>
        <w:rPr>
          <w:rFonts w:hint="eastAsia" w:ascii="Times New Roman" w:hAnsi="Times New Roman" w:eastAsia="方正仿宋_GB2312" w:cs="Times New Roman"/>
          <w:b w:val="0"/>
          <w:i w:val="0"/>
          <w:caps w:val="0"/>
          <w:color w:val="auto"/>
          <w:spacing w:val="0"/>
          <w:kern w:val="0"/>
          <w:sz w:val="24"/>
          <w:szCs w:val="24"/>
          <w:highlight w:val="none"/>
          <w:shd w:val="clear" w:fill="FFFFFF"/>
          <w:vertAlign w:val="baseline"/>
          <w:lang w:val="en-US" w:eastAsia="zh-CN" w:bidi="ar"/>
        </w:rPr>
        <w:t>3.</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本合同一式6份，甲方执</w:t>
      </w:r>
      <w:r>
        <w:rPr>
          <w:rFonts w:hint="eastAsia" w:eastAsia="方正仿宋_GB2312" w:cs="Times New Roman"/>
          <w:i w:val="0"/>
          <w:caps w:val="0"/>
          <w:color w:val="auto"/>
          <w:spacing w:val="0"/>
          <w:kern w:val="0"/>
          <w:sz w:val="24"/>
          <w:szCs w:val="24"/>
          <w:highlight w:val="none"/>
          <w:shd w:val="clear" w:fill="FFFFFF"/>
          <w:vertAlign w:val="baseline"/>
          <w:lang w:val="en-US" w:eastAsia="zh-CN" w:bidi="ar"/>
        </w:rPr>
        <w:t>5</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份，乙方执</w:t>
      </w:r>
      <w:r>
        <w:rPr>
          <w:rFonts w:hint="eastAsia" w:eastAsia="方正仿宋_GB2312" w:cs="Times New Roman"/>
          <w:i w:val="0"/>
          <w:caps w:val="0"/>
          <w:color w:val="auto"/>
          <w:spacing w:val="0"/>
          <w:kern w:val="0"/>
          <w:sz w:val="24"/>
          <w:szCs w:val="24"/>
          <w:highlight w:val="none"/>
          <w:shd w:val="clear" w:fill="FFFFFF"/>
          <w:vertAlign w:val="baseline"/>
          <w:lang w:val="en-US" w:eastAsia="zh-CN" w:bidi="ar"/>
        </w:rPr>
        <w:t>1</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份，</w:t>
      </w:r>
      <w:r>
        <w:rPr>
          <w:rFonts w:hint="eastAsia"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具有同等法律效力。</w:t>
      </w:r>
      <w:r>
        <w:rPr>
          <w:rFonts w:hint="default" w:ascii="Times New Roman" w:hAnsi="Times New Roman" w:eastAsia="方正仿宋_GB2312" w:cs="Times New Roman"/>
          <w:i w:val="0"/>
          <w:caps w:val="0"/>
          <w:color w:val="auto"/>
          <w:spacing w:val="0"/>
          <w:kern w:val="0"/>
          <w:sz w:val="24"/>
          <w:szCs w:val="24"/>
          <w:highlight w:val="none"/>
          <w:shd w:val="clear" w:fill="FFFFFF"/>
          <w:vertAlign w:val="baseline"/>
          <w:lang w:val="en-US" w:eastAsia="zh-CN" w:bidi="ar"/>
        </w:rPr>
        <w:t>。</w:t>
      </w:r>
    </w:p>
    <w:p w14:paraId="26F774D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baseline"/>
        <w:rPr>
          <w:rFonts w:hint="default" w:ascii="Times New Roman" w:hAnsi="Times New Roman" w:eastAsia="方正仿宋_GB2312" w:cs="Times New Roman"/>
          <w:i w:val="0"/>
          <w:caps w:val="0"/>
          <w:color w:val="auto"/>
          <w:spacing w:val="0"/>
          <w:sz w:val="24"/>
          <w:szCs w:val="24"/>
        </w:rPr>
      </w:pPr>
      <w:r>
        <w:rPr>
          <w:rFonts w:hint="eastAsia" w:ascii="Times New Roman" w:hAnsi="Times New Roman" w:eastAsia="方正仿宋_GB2312" w:cs="Times New Roman"/>
          <w:i w:val="0"/>
          <w:caps w:val="0"/>
          <w:color w:val="auto"/>
          <w:spacing w:val="0"/>
          <w:sz w:val="24"/>
          <w:szCs w:val="24"/>
          <w:lang w:val="en-US" w:eastAsia="zh-CN"/>
        </w:rPr>
        <w:t>4.</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合同的附件为本合同不可分割的组成部分，与本合同具有同等的法律效力。　　</w:t>
      </w:r>
    </w:p>
    <w:p w14:paraId="6FB7B77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w:t>
      </w:r>
    </w:p>
    <w:p w14:paraId="5D7A8B5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甲方（盖章）：</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乙方（盖章）：</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134C7DF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法定代表人（委托代理人）       法定代表人（委托代理人）</w:t>
      </w:r>
    </w:p>
    <w:p w14:paraId="15F4D99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（签字）：</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xml:space="preserve">       </w:t>
      </w:r>
      <w:r>
        <w:rPr>
          <w:rFonts w:hint="eastAsia" w:ascii="Times New Roman" w:hAnsi="Times New Roman" w:eastAsia="方正仿宋_GB2312" w:cs="Times New Roman"/>
          <w:i w:val="0"/>
          <w:caps w:val="0"/>
          <w:color w:val="auto"/>
          <w:spacing w:val="0"/>
          <w:kern w:val="0"/>
          <w:sz w:val="24"/>
          <w:szCs w:val="24"/>
          <w:shd w:val="clear" w:fill="FFFFFF"/>
          <w:vertAlign w:val="baseline"/>
          <w:lang w:val="en-US" w:eastAsia="zh-CN" w:bidi="ar"/>
        </w:rPr>
        <w:t xml:space="preserve">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（签字）：</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242908B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联 系 人：</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联 系 人：</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772DFE9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联系方式：</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联系方式：</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0C8207E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i w:val="0"/>
          <w:caps w:val="0"/>
          <w:color w:val="auto"/>
          <w:spacing w:val="0"/>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签订时间： </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年</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月</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日      签订时间： </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年</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月</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日</w:t>
      </w:r>
    </w:p>
    <w:p w14:paraId="61E1518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textAlignment w:val="baseline"/>
        <w:rPr>
          <w:rFonts w:hint="default" w:ascii="Times New Roman" w:hAnsi="Times New Roman" w:eastAsia="方正仿宋_GB2312" w:cs="Times New Roman"/>
          <w:color w:val="auto"/>
          <w:sz w:val="24"/>
          <w:szCs w:val="24"/>
        </w:rPr>
      </w:pP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签订地点：</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r>
        <w:rPr>
          <w:rFonts w:hint="default" w:ascii="Times New Roman" w:hAnsi="Times New Roman" w:eastAsia="方正仿宋_GB2312" w:cs="Times New Roman"/>
          <w:i w:val="0"/>
          <w:caps w:val="0"/>
          <w:color w:val="auto"/>
          <w:spacing w:val="0"/>
          <w:kern w:val="0"/>
          <w:sz w:val="24"/>
          <w:szCs w:val="24"/>
          <w:shd w:val="clear" w:fill="FFFFFF"/>
          <w:vertAlign w:val="baseline"/>
          <w:lang w:val="en-US" w:eastAsia="zh-CN" w:bidi="ar"/>
        </w:rPr>
        <w:t>         签订地点：</w:t>
      </w:r>
      <w:r>
        <w:rPr>
          <w:rFonts w:hint="default" w:ascii="Times New Roman" w:hAnsi="Times New Roman" w:eastAsia="方正仿宋_GB2312" w:cs="Times New Roman"/>
          <w:i w:val="0"/>
          <w:caps w:val="0"/>
          <w:color w:val="auto"/>
          <w:spacing w:val="0"/>
          <w:kern w:val="0"/>
          <w:sz w:val="24"/>
          <w:szCs w:val="24"/>
          <w:u w:val="single"/>
          <w:shd w:val="clear" w:fill="FFFFFF"/>
          <w:vertAlign w:val="baseline"/>
          <w:lang w:val="en-US" w:eastAsia="zh-CN" w:bidi="ar"/>
        </w:rPr>
        <w:t>                </w:t>
      </w:r>
    </w:p>
    <w:p w14:paraId="0F99E2AE">
      <w:pPr>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附件：</w:t>
      </w:r>
    </w:p>
    <w:p w14:paraId="7AEA03E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通勤班车考核表</w:t>
      </w:r>
    </w:p>
    <w:p w14:paraId="2DD9025E">
      <w:pPr>
        <w:rPr>
          <w:rFonts w:hint="eastAsia" w:ascii="仿宋" w:hAnsi="仿宋" w:eastAsia="仿宋" w:cs="仿宋"/>
          <w:color w:val="auto"/>
          <w:sz w:val="24"/>
          <w:szCs w:val="24"/>
        </w:rPr>
      </w:pPr>
      <w:r>
        <w:rPr>
          <w:rFonts w:hint="eastAsia" w:ascii="仿宋" w:hAnsi="仿宋" w:eastAsia="仿宋" w:cs="仿宋"/>
          <w:color w:val="auto"/>
          <w:sz w:val="24"/>
          <w:szCs w:val="24"/>
        </w:rPr>
        <w:t>驾驶员：________车辆：__________考核时间：_________</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4675"/>
        <w:gridCol w:w="551"/>
        <w:gridCol w:w="1176"/>
        <w:gridCol w:w="830"/>
      </w:tblGrid>
      <w:tr w14:paraId="136C3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14:paraId="2BD4AB73">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考核</w:t>
            </w:r>
          </w:p>
          <w:p w14:paraId="15871EEE">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项目</w:t>
            </w:r>
          </w:p>
        </w:tc>
        <w:tc>
          <w:tcPr>
            <w:tcW w:w="4675" w:type="dxa"/>
          </w:tcPr>
          <w:p w14:paraId="7BBA4296">
            <w:pPr>
              <w:spacing w:before="312" w:beforeLines="100"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考核内容</w:t>
            </w:r>
          </w:p>
        </w:tc>
        <w:tc>
          <w:tcPr>
            <w:tcW w:w="551" w:type="dxa"/>
          </w:tcPr>
          <w:p w14:paraId="33996230">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分值</w:t>
            </w:r>
          </w:p>
        </w:tc>
        <w:tc>
          <w:tcPr>
            <w:tcW w:w="1176" w:type="dxa"/>
          </w:tcPr>
          <w:p w14:paraId="1E58A248">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办公室评分</w:t>
            </w:r>
          </w:p>
        </w:tc>
        <w:tc>
          <w:tcPr>
            <w:tcW w:w="830" w:type="dxa"/>
          </w:tcPr>
          <w:p w14:paraId="49566BA3">
            <w:pPr>
              <w:spacing w:before="312" w:beforeLines="100"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w:t>
            </w:r>
          </w:p>
        </w:tc>
      </w:tr>
      <w:tr w14:paraId="6BF68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tcPr>
          <w:p w14:paraId="38A065E1">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车辆设施设备满意度</w:t>
            </w:r>
          </w:p>
        </w:tc>
        <w:tc>
          <w:tcPr>
            <w:tcW w:w="4675" w:type="dxa"/>
          </w:tcPr>
          <w:p w14:paraId="7C7127E6">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车辆空调、座椅、安全带、照明是否完好</w:t>
            </w:r>
          </w:p>
        </w:tc>
        <w:tc>
          <w:tcPr>
            <w:tcW w:w="551" w:type="dxa"/>
          </w:tcPr>
          <w:p w14:paraId="1C14A77B">
            <w:pPr>
              <w:spacing w:before="312" w:beforeLines="100"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15</w:t>
            </w:r>
          </w:p>
        </w:tc>
        <w:tc>
          <w:tcPr>
            <w:tcW w:w="1176" w:type="dxa"/>
          </w:tcPr>
          <w:p w14:paraId="5F69D626">
            <w:pPr>
              <w:spacing w:after="0" w:line="240" w:lineRule="auto"/>
              <w:jc w:val="center"/>
              <w:rPr>
                <w:rFonts w:hint="eastAsia" w:ascii="仿宋" w:hAnsi="仿宋" w:eastAsia="仿宋" w:cs="仿宋"/>
                <w:color w:val="auto"/>
                <w:sz w:val="24"/>
                <w:szCs w:val="24"/>
              </w:rPr>
            </w:pPr>
          </w:p>
        </w:tc>
        <w:tc>
          <w:tcPr>
            <w:tcW w:w="830" w:type="dxa"/>
          </w:tcPr>
          <w:p w14:paraId="7A49600B">
            <w:pPr>
              <w:spacing w:after="0" w:line="240" w:lineRule="auto"/>
              <w:jc w:val="center"/>
              <w:rPr>
                <w:rFonts w:hint="eastAsia" w:ascii="仿宋" w:hAnsi="仿宋" w:eastAsia="仿宋" w:cs="仿宋"/>
                <w:color w:val="auto"/>
                <w:sz w:val="24"/>
                <w:szCs w:val="24"/>
              </w:rPr>
            </w:pPr>
          </w:p>
        </w:tc>
      </w:tr>
      <w:tr w14:paraId="3CCF8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6C16DDCE">
            <w:pPr>
              <w:spacing w:after="0" w:line="240" w:lineRule="auto"/>
              <w:jc w:val="center"/>
              <w:rPr>
                <w:rFonts w:hint="eastAsia" w:ascii="仿宋" w:hAnsi="仿宋" w:eastAsia="仿宋" w:cs="仿宋"/>
                <w:color w:val="auto"/>
                <w:sz w:val="24"/>
                <w:szCs w:val="24"/>
              </w:rPr>
            </w:pPr>
          </w:p>
        </w:tc>
        <w:tc>
          <w:tcPr>
            <w:tcW w:w="4675" w:type="dxa"/>
          </w:tcPr>
          <w:p w14:paraId="44482065">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车辆证件是否齐全</w:t>
            </w:r>
          </w:p>
        </w:tc>
        <w:tc>
          <w:tcPr>
            <w:tcW w:w="551" w:type="dxa"/>
          </w:tcPr>
          <w:p w14:paraId="1E0FA693">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59760DBF">
            <w:pPr>
              <w:spacing w:after="0" w:line="240" w:lineRule="auto"/>
              <w:jc w:val="center"/>
              <w:rPr>
                <w:rFonts w:hint="eastAsia" w:ascii="仿宋" w:hAnsi="仿宋" w:eastAsia="仿宋" w:cs="仿宋"/>
                <w:color w:val="auto"/>
                <w:sz w:val="24"/>
                <w:szCs w:val="24"/>
              </w:rPr>
            </w:pPr>
          </w:p>
        </w:tc>
        <w:tc>
          <w:tcPr>
            <w:tcW w:w="830" w:type="dxa"/>
          </w:tcPr>
          <w:p w14:paraId="20FA4902">
            <w:pPr>
              <w:spacing w:after="0" w:line="240" w:lineRule="auto"/>
              <w:jc w:val="center"/>
              <w:rPr>
                <w:rFonts w:hint="eastAsia" w:ascii="仿宋" w:hAnsi="仿宋" w:eastAsia="仿宋" w:cs="仿宋"/>
                <w:color w:val="auto"/>
                <w:sz w:val="24"/>
                <w:szCs w:val="24"/>
              </w:rPr>
            </w:pPr>
          </w:p>
        </w:tc>
      </w:tr>
      <w:tr w14:paraId="70A95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tcPr>
          <w:p w14:paraId="003E8D2E">
            <w:pPr>
              <w:spacing w:before="468" w:beforeLines="150"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车内卫生环境满意度</w:t>
            </w:r>
          </w:p>
        </w:tc>
        <w:tc>
          <w:tcPr>
            <w:tcW w:w="4675" w:type="dxa"/>
          </w:tcPr>
          <w:p w14:paraId="7ABAC45F">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车内无异味，车窗明亮</w:t>
            </w:r>
          </w:p>
        </w:tc>
        <w:tc>
          <w:tcPr>
            <w:tcW w:w="551" w:type="dxa"/>
          </w:tcPr>
          <w:p w14:paraId="6A0C6639">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78BA8EB7">
            <w:pPr>
              <w:spacing w:after="0" w:line="240" w:lineRule="auto"/>
              <w:jc w:val="center"/>
              <w:rPr>
                <w:rFonts w:hint="eastAsia" w:ascii="仿宋" w:hAnsi="仿宋" w:eastAsia="仿宋" w:cs="仿宋"/>
                <w:color w:val="auto"/>
                <w:sz w:val="24"/>
                <w:szCs w:val="24"/>
              </w:rPr>
            </w:pPr>
          </w:p>
        </w:tc>
        <w:tc>
          <w:tcPr>
            <w:tcW w:w="830" w:type="dxa"/>
          </w:tcPr>
          <w:p w14:paraId="280205E8">
            <w:pPr>
              <w:spacing w:after="0" w:line="240" w:lineRule="auto"/>
              <w:jc w:val="center"/>
              <w:rPr>
                <w:rFonts w:hint="eastAsia" w:ascii="仿宋" w:hAnsi="仿宋" w:eastAsia="仿宋" w:cs="仿宋"/>
                <w:color w:val="auto"/>
                <w:sz w:val="24"/>
                <w:szCs w:val="24"/>
              </w:rPr>
            </w:pPr>
          </w:p>
        </w:tc>
      </w:tr>
      <w:tr w14:paraId="3E7BA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2CCE6451">
            <w:pPr>
              <w:spacing w:after="0" w:line="240" w:lineRule="auto"/>
              <w:jc w:val="center"/>
              <w:rPr>
                <w:rFonts w:hint="eastAsia" w:ascii="仿宋" w:hAnsi="仿宋" w:eastAsia="仿宋" w:cs="仿宋"/>
                <w:color w:val="auto"/>
                <w:sz w:val="24"/>
                <w:szCs w:val="24"/>
              </w:rPr>
            </w:pPr>
          </w:p>
        </w:tc>
        <w:tc>
          <w:tcPr>
            <w:tcW w:w="4675" w:type="dxa"/>
          </w:tcPr>
          <w:p w14:paraId="04EB4DAC">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禁止车内抽烟，并制止他人在车内抽烟</w:t>
            </w:r>
          </w:p>
        </w:tc>
        <w:tc>
          <w:tcPr>
            <w:tcW w:w="551" w:type="dxa"/>
          </w:tcPr>
          <w:p w14:paraId="520F7595">
            <w:pPr>
              <w:spacing w:before="312" w:beforeLines="100"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361EB483">
            <w:pPr>
              <w:spacing w:after="0" w:line="240" w:lineRule="auto"/>
              <w:jc w:val="center"/>
              <w:rPr>
                <w:rFonts w:hint="eastAsia" w:ascii="仿宋" w:hAnsi="仿宋" w:eastAsia="仿宋" w:cs="仿宋"/>
                <w:color w:val="auto"/>
                <w:sz w:val="24"/>
                <w:szCs w:val="24"/>
              </w:rPr>
            </w:pPr>
          </w:p>
        </w:tc>
        <w:tc>
          <w:tcPr>
            <w:tcW w:w="830" w:type="dxa"/>
          </w:tcPr>
          <w:p w14:paraId="52FFE832">
            <w:pPr>
              <w:spacing w:after="0" w:line="240" w:lineRule="auto"/>
              <w:jc w:val="center"/>
              <w:rPr>
                <w:rFonts w:hint="eastAsia" w:ascii="仿宋" w:hAnsi="仿宋" w:eastAsia="仿宋" w:cs="仿宋"/>
                <w:color w:val="auto"/>
                <w:sz w:val="24"/>
                <w:szCs w:val="24"/>
              </w:rPr>
            </w:pPr>
          </w:p>
        </w:tc>
      </w:tr>
      <w:tr w14:paraId="420A7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27EF9573">
            <w:pPr>
              <w:spacing w:after="0" w:line="240" w:lineRule="auto"/>
              <w:jc w:val="center"/>
              <w:rPr>
                <w:rFonts w:hint="eastAsia" w:ascii="仿宋" w:hAnsi="仿宋" w:eastAsia="仿宋" w:cs="仿宋"/>
                <w:color w:val="auto"/>
                <w:sz w:val="24"/>
                <w:szCs w:val="24"/>
              </w:rPr>
            </w:pPr>
          </w:p>
        </w:tc>
        <w:tc>
          <w:tcPr>
            <w:tcW w:w="4675" w:type="dxa"/>
          </w:tcPr>
          <w:p w14:paraId="2D453079">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车辆内外干净整洁，无杂物</w:t>
            </w:r>
          </w:p>
        </w:tc>
        <w:tc>
          <w:tcPr>
            <w:tcW w:w="551" w:type="dxa"/>
          </w:tcPr>
          <w:p w14:paraId="526167AD">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7DD329E4">
            <w:pPr>
              <w:spacing w:after="0" w:line="240" w:lineRule="auto"/>
              <w:jc w:val="center"/>
              <w:rPr>
                <w:rFonts w:hint="eastAsia" w:ascii="仿宋" w:hAnsi="仿宋" w:eastAsia="仿宋" w:cs="仿宋"/>
                <w:color w:val="auto"/>
                <w:sz w:val="24"/>
                <w:szCs w:val="24"/>
              </w:rPr>
            </w:pPr>
          </w:p>
        </w:tc>
        <w:tc>
          <w:tcPr>
            <w:tcW w:w="830" w:type="dxa"/>
          </w:tcPr>
          <w:p w14:paraId="28FB0C10">
            <w:pPr>
              <w:spacing w:after="0" w:line="240" w:lineRule="auto"/>
              <w:jc w:val="center"/>
              <w:rPr>
                <w:rFonts w:hint="eastAsia" w:ascii="仿宋" w:hAnsi="仿宋" w:eastAsia="仿宋" w:cs="仿宋"/>
                <w:color w:val="auto"/>
                <w:sz w:val="24"/>
                <w:szCs w:val="24"/>
              </w:rPr>
            </w:pPr>
          </w:p>
        </w:tc>
      </w:tr>
      <w:tr w14:paraId="00B08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7DAEB6BE">
            <w:pPr>
              <w:spacing w:after="0" w:line="240" w:lineRule="auto"/>
              <w:jc w:val="center"/>
              <w:rPr>
                <w:rFonts w:hint="eastAsia" w:ascii="仿宋" w:hAnsi="仿宋" w:eastAsia="仿宋" w:cs="仿宋"/>
                <w:color w:val="auto"/>
                <w:sz w:val="24"/>
                <w:szCs w:val="24"/>
              </w:rPr>
            </w:pPr>
          </w:p>
        </w:tc>
        <w:tc>
          <w:tcPr>
            <w:tcW w:w="4675" w:type="dxa"/>
          </w:tcPr>
          <w:p w14:paraId="32A5816D">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定期消毒清洁</w:t>
            </w:r>
          </w:p>
        </w:tc>
        <w:tc>
          <w:tcPr>
            <w:tcW w:w="551" w:type="dxa"/>
          </w:tcPr>
          <w:p w14:paraId="1262EEEB">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78746950">
            <w:pPr>
              <w:spacing w:after="0" w:line="240" w:lineRule="auto"/>
              <w:jc w:val="center"/>
              <w:rPr>
                <w:rFonts w:hint="eastAsia" w:ascii="仿宋" w:hAnsi="仿宋" w:eastAsia="仿宋" w:cs="仿宋"/>
                <w:color w:val="auto"/>
                <w:sz w:val="24"/>
                <w:szCs w:val="24"/>
              </w:rPr>
            </w:pPr>
          </w:p>
        </w:tc>
        <w:tc>
          <w:tcPr>
            <w:tcW w:w="830" w:type="dxa"/>
          </w:tcPr>
          <w:p w14:paraId="24F907E4">
            <w:pPr>
              <w:spacing w:after="0" w:line="240" w:lineRule="auto"/>
              <w:jc w:val="center"/>
              <w:rPr>
                <w:rFonts w:hint="eastAsia" w:ascii="仿宋" w:hAnsi="仿宋" w:eastAsia="仿宋" w:cs="仿宋"/>
                <w:color w:val="auto"/>
                <w:sz w:val="24"/>
                <w:szCs w:val="24"/>
              </w:rPr>
            </w:pPr>
          </w:p>
        </w:tc>
      </w:tr>
      <w:tr w14:paraId="67159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tcPr>
          <w:p w14:paraId="3338960B">
            <w:pPr>
              <w:spacing w:before="936" w:beforeLines="300"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安全驾驶行为满意度</w:t>
            </w:r>
          </w:p>
        </w:tc>
        <w:tc>
          <w:tcPr>
            <w:tcW w:w="4675" w:type="dxa"/>
          </w:tcPr>
          <w:p w14:paraId="1CE0E809">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按规定时速驾驶不违章驾车</w:t>
            </w:r>
          </w:p>
        </w:tc>
        <w:tc>
          <w:tcPr>
            <w:tcW w:w="551" w:type="dxa"/>
          </w:tcPr>
          <w:p w14:paraId="7B32520B">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548279B7">
            <w:pPr>
              <w:spacing w:after="0" w:line="240" w:lineRule="auto"/>
              <w:jc w:val="center"/>
              <w:rPr>
                <w:rFonts w:hint="eastAsia" w:ascii="仿宋" w:hAnsi="仿宋" w:eastAsia="仿宋" w:cs="仿宋"/>
                <w:color w:val="auto"/>
                <w:sz w:val="24"/>
                <w:szCs w:val="24"/>
              </w:rPr>
            </w:pPr>
          </w:p>
        </w:tc>
        <w:tc>
          <w:tcPr>
            <w:tcW w:w="830" w:type="dxa"/>
          </w:tcPr>
          <w:p w14:paraId="2C8435ED">
            <w:pPr>
              <w:spacing w:after="0" w:line="240" w:lineRule="auto"/>
              <w:jc w:val="center"/>
              <w:rPr>
                <w:rFonts w:hint="eastAsia" w:ascii="仿宋" w:hAnsi="仿宋" w:eastAsia="仿宋" w:cs="仿宋"/>
                <w:color w:val="auto"/>
                <w:sz w:val="24"/>
                <w:szCs w:val="24"/>
              </w:rPr>
            </w:pPr>
          </w:p>
        </w:tc>
      </w:tr>
      <w:tr w14:paraId="50306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4E9A3348">
            <w:pPr>
              <w:spacing w:after="0" w:line="240" w:lineRule="auto"/>
              <w:jc w:val="center"/>
              <w:rPr>
                <w:rFonts w:hint="eastAsia" w:ascii="仿宋" w:hAnsi="仿宋" w:eastAsia="仿宋" w:cs="仿宋"/>
                <w:color w:val="auto"/>
                <w:sz w:val="24"/>
                <w:szCs w:val="24"/>
              </w:rPr>
            </w:pPr>
          </w:p>
        </w:tc>
        <w:tc>
          <w:tcPr>
            <w:tcW w:w="4675" w:type="dxa"/>
          </w:tcPr>
          <w:p w14:paraId="0CAE2528">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提醒并检查乘车人员佩戴安全带</w:t>
            </w:r>
          </w:p>
        </w:tc>
        <w:tc>
          <w:tcPr>
            <w:tcW w:w="551" w:type="dxa"/>
          </w:tcPr>
          <w:p w14:paraId="0FD41466">
            <w:pPr>
              <w:spacing w:before="312" w:beforeLines="100"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561F4E9E">
            <w:pPr>
              <w:spacing w:after="0" w:line="240" w:lineRule="auto"/>
              <w:jc w:val="center"/>
              <w:rPr>
                <w:rFonts w:hint="eastAsia" w:ascii="仿宋" w:hAnsi="仿宋" w:eastAsia="仿宋" w:cs="仿宋"/>
                <w:color w:val="auto"/>
                <w:sz w:val="24"/>
                <w:szCs w:val="24"/>
              </w:rPr>
            </w:pPr>
          </w:p>
        </w:tc>
        <w:tc>
          <w:tcPr>
            <w:tcW w:w="830" w:type="dxa"/>
          </w:tcPr>
          <w:p w14:paraId="0A17DAC5">
            <w:pPr>
              <w:spacing w:after="0" w:line="240" w:lineRule="auto"/>
              <w:jc w:val="center"/>
              <w:rPr>
                <w:rFonts w:hint="eastAsia" w:ascii="仿宋" w:hAnsi="仿宋" w:eastAsia="仿宋" w:cs="仿宋"/>
                <w:color w:val="auto"/>
                <w:sz w:val="24"/>
                <w:szCs w:val="24"/>
              </w:rPr>
            </w:pPr>
          </w:p>
        </w:tc>
      </w:tr>
      <w:tr w14:paraId="2664F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5811A502">
            <w:pPr>
              <w:spacing w:after="0" w:line="240" w:lineRule="auto"/>
              <w:jc w:val="center"/>
              <w:rPr>
                <w:rFonts w:hint="eastAsia" w:ascii="仿宋" w:hAnsi="仿宋" w:eastAsia="仿宋" w:cs="仿宋"/>
                <w:color w:val="auto"/>
                <w:sz w:val="24"/>
                <w:szCs w:val="24"/>
              </w:rPr>
            </w:pPr>
          </w:p>
        </w:tc>
        <w:tc>
          <w:tcPr>
            <w:tcW w:w="4675" w:type="dxa"/>
          </w:tcPr>
          <w:p w14:paraId="37F42F9E">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保证休息，禁止疲劳驾驶，禁止酒后驾驶</w:t>
            </w:r>
          </w:p>
        </w:tc>
        <w:tc>
          <w:tcPr>
            <w:tcW w:w="551" w:type="dxa"/>
          </w:tcPr>
          <w:p w14:paraId="2DD39DD6">
            <w:pPr>
              <w:spacing w:before="312" w:beforeLines="100"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2A5AE1A0">
            <w:pPr>
              <w:spacing w:after="0" w:line="240" w:lineRule="auto"/>
              <w:jc w:val="center"/>
              <w:rPr>
                <w:rFonts w:hint="eastAsia" w:ascii="仿宋" w:hAnsi="仿宋" w:eastAsia="仿宋" w:cs="仿宋"/>
                <w:color w:val="auto"/>
                <w:sz w:val="24"/>
                <w:szCs w:val="24"/>
              </w:rPr>
            </w:pPr>
          </w:p>
        </w:tc>
        <w:tc>
          <w:tcPr>
            <w:tcW w:w="830" w:type="dxa"/>
          </w:tcPr>
          <w:p w14:paraId="7B8E8A84">
            <w:pPr>
              <w:spacing w:after="0" w:line="240" w:lineRule="auto"/>
              <w:jc w:val="center"/>
              <w:rPr>
                <w:rFonts w:hint="eastAsia" w:ascii="仿宋" w:hAnsi="仿宋" w:eastAsia="仿宋" w:cs="仿宋"/>
                <w:color w:val="auto"/>
                <w:sz w:val="24"/>
                <w:szCs w:val="24"/>
              </w:rPr>
            </w:pPr>
          </w:p>
        </w:tc>
      </w:tr>
      <w:tr w14:paraId="33090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4B178961">
            <w:pPr>
              <w:spacing w:after="0" w:line="240" w:lineRule="auto"/>
              <w:jc w:val="center"/>
              <w:rPr>
                <w:rFonts w:hint="eastAsia" w:ascii="仿宋" w:hAnsi="仿宋" w:eastAsia="仿宋" w:cs="仿宋"/>
                <w:color w:val="auto"/>
                <w:sz w:val="24"/>
                <w:szCs w:val="24"/>
              </w:rPr>
            </w:pPr>
          </w:p>
        </w:tc>
        <w:tc>
          <w:tcPr>
            <w:tcW w:w="4675" w:type="dxa"/>
          </w:tcPr>
          <w:p w14:paraId="60FE2454">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发生事故及时上报</w:t>
            </w:r>
          </w:p>
        </w:tc>
        <w:tc>
          <w:tcPr>
            <w:tcW w:w="551" w:type="dxa"/>
          </w:tcPr>
          <w:p w14:paraId="10C49F68">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62241A0B">
            <w:pPr>
              <w:spacing w:after="0" w:line="240" w:lineRule="auto"/>
              <w:jc w:val="center"/>
              <w:rPr>
                <w:rFonts w:hint="eastAsia" w:ascii="仿宋" w:hAnsi="仿宋" w:eastAsia="仿宋" w:cs="仿宋"/>
                <w:color w:val="auto"/>
                <w:sz w:val="24"/>
                <w:szCs w:val="24"/>
              </w:rPr>
            </w:pPr>
          </w:p>
        </w:tc>
        <w:tc>
          <w:tcPr>
            <w:tcW w:w="830" w:type="dxa"/>
          </w:tcPr>
          <w:p w14:paraId="1E07F9DB">
            <w:pPr>
              <w:spacing w:after="0" w:line="240" w:lineRule="auto"/>
              <w:jc w:val="center"/>
              <w:rPr>
                <w:rFonts w:hint="eastAsia" w:ascii="仿宋" w:hAnsi="仿宋" w:eastAsia="仿宋" w:cs="仿宋"/>
                <w:color w:val="auto"/>
                <w:sz w:val="24"/>
                <w:szCs w:val="24"/>
              </w:rPr>
            </w:pPr>
          </w:p>
        </w:tc>
      </w:tr>
      <w:tr w14:paraId="68255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30665BED">
            <w:pPr>
              <w:spacing w:after="0" w:line="240" w:lineRule="auto"/>
              <w:jc w:val="center"/>
              <w:rPr>
                <w:rFonts w:hint="eastAsia" w:ascii="仿宋" w:hAnsi="仿宋" w:eastAsia="仿宋" w:cs="仿宋"/>
                <w:color w:val="auto"/>
                <w:sz w:val="24"/>
                <w:szCs w:val="24"/>
              </w:rPr>
            </w:pPr>
          </w:p>
        </w:tc>
        <w:tc>
          <w:tcPr>
            <w:tcW w:w="4675" w:type="dxa"/>
          </w:tcPr>
          <w:p w14:paraId="61E16BBC">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按照规定路线驾驶及中途停靠</w:t>
            </w:r>
          </w:p>
        </w:tc>
        <w:tc>
          <w:tcPr>
            <w:tcW w:w="551" w:type="dxa"/>
          </w:tcPr>
          <w:p w14:paraId="1FEF06EE">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2FE9A710">
            <w:pPr>
              <w:spacing w:after="0" w:line="240" w:lineRule="auto"/>
              <w:jc w:val="center"/>
              <w:rPr>
                <w:rFonts w:hint="eastAsia" w:ascii="仿宋" w:hAnsi="仿宋" w:eastAsia="仿宋" w:cs="仿宋"/>
                <w:color w:val="auto"/>
                <w:sz w:val="24"/>
                <w:szCs w:val="24"/>
              </w:rPr>
            </w:pPr>
          </w:p>
        </w:tc>
        <w:tc>
          <w:tcPr>
            <w:tcW w:w="830" w:type="dxa"/>
          </w:tcPr>
          <w:p w14:paraId="31BAD90B">
            <w:pPr>
              <w:spacing w:after="0" w:line="240" w:lineRule="auto"/>
              <w:jc w:val="center"/>
              <w:rPr>
                <w:rFonts w:hint="eastAsia" w:ascii="仿宋" w:hAnsi="仿宋" w:eastAsia="仿宋" w:cs="仿宋"/>
                <w:color w:val="auto"/>
                <w:sz w:val="24"/>
                <w:szCs w:val="24"/>
              </w:rPr>
            </w:pPr>
          </w:p>
        </w:tc>
      </w:tr>
      <w:tr w14:paraId="7D525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tcPr>
          <w:p w14:paraId="18339BE9">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文明用语及行为满意度</w:t>
            </w:r>
          </w:p>
        </w:tc>
        <w:tc>
          <w:tcPr>
            <w:tcW w:w="4675" w:type="dxa"/>
          </w:tcPr>
          <w:p w14:paraId="0EF0F345">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是否规范文明用语及行为</w:t>
            </w:r>
          </w:p>
        </w:tc>
        <w:tc>
          <w:tcPr>
            <w:tcW w:w="551" w:type="dxa"/>
          </w:tcPr>
          <w:p w14:paraId="4CB14554">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47BD883F">
            <w:pPr>
              <w:spacing w:after="0" w:line="240" w:lineRule="auto"/>
              <w:jc w:val="center"/>
              <w:rPr>
                <w:rFonts w:hint="eastAsia" w:ascii="仿宋" w:hAnsi="仿宋" w:eastAsia="仿宋" w:cs="仿宋"/>
                <w:color w:val="auto"/>
                <w:sz w:val="24"/>
                <w:szCs w:val="24"/>
              </w:rPr>
            </w:pPr>
          </w:p>
        </w:tc>
        <w:tc>
          <w:tcPr>
            <w:tcW w:w="830" w:type="dxa"/>
          </w:tcPr>
          <w:p w14:paraId="4D20C5D5">
            <w:pPr>
              <w:spacing w:after="0" w:line="240" w:lineRule="auto"/>
              <w:jc w:val="center"/>
              <w:rPr>
                <w:rFonts w:hint="eastAsia" w:ascii="仿宋" w:hAnsi="仿宋" w:eastAsia="仿宋" w:cs="仿宋"/>
                <w:color w:val="auto"/>
                <w:sz w:val="24"/>
                <w:szCs w:val="24"/>
              </w:rPr>
            </w:pPr>
          </w:p>
        </w:tc>
      </w:tr>
      <w:tr w14:paraId="2E2AC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778AE56D">
            <w:pPr>
              <w:spacing w:after="0" w:line="240" w:lineRule="auto"/>
              <w:jc w:val="center"/>
              <w:rPr>
                <w:rFonts w:hint="eastAsia" w:ascii="仿宋" w:hAnsi="仿宋" w:eastAsia="仿宋" w:cs="仿宋"/>
                <w:color w:val="auto"/>
                <w:sz w:val="24"/>
                <w:szCs w:val="24"/>
              </w:rPr>
            </w:pPr>
          </w:p>
        </w:tc>
        <w:tc>
          <w:tcPr>
            <w:tcW w:w="4675" w:type="dxa"/>
          </w:tcPr>
          <w:p w14:paraId="26907831">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是否服从安排及车辆调度</w:t>
            </w:r>
          </w:p>
        </w:tc>
        <w:tc>
          <w:tcPr>
            <w:tcW w:w="551" w:type="dxa"/>
          </w:tcPr>
          <w:p w14:paraId="0F5FB15E">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65241426">
            <w:pPr>
              <w:spacing w:after="0" w:line="240" w:lineRule="auto"/>
              <w:jc w:val="center"/>
              <w:rPr>
                <w:rFonts w:hint="eastAsia" w:ascii="仿宋" w:hAnsi="仿宋" w:eastAsia="仿宋" w:cs="仿宋"/>
                <w:color w:val="auto"/>
                <w:sz w:val="24"/>
                <w:szCs w:val="24"/>
              </w:rPr>
            </w:pPr>
          </w:p>
        </w:tc>
        <w:tc>
          <w:tcPr>
            <w:tcW w:w="830" w:type="dxa"/>
          </w:tcPr>
          <w:p w14:paraId="3425EE11">
            <w:pPr>
              <w:spacing w:after="0" w:line="240" w:lineRule="auto"/>
              <w:jc w:val="center"/>
              <w:rPr>
                <w:rFonts w:hint="eastAsia" w:ascii="仿宋" w:hAnsi="仿宋" w:eastAsia="仿宋" w:cs="仿宋"/>
                <w:color w:val="auto"/>
                <w:sz w:val="24"/>
                <w:szCs w:val="24"/>
              </w:rPr>
            </w:pPr>
          </w:p>
        </w:tc>
      </w:tr>
      <w:tr w14:paraId="58CD8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1D3BD98E">
            <w:pPr>
              <w:spacing w:after="0" w:line="240" w:lineRule="auto"/>
              <w:jc w:val="center"/>
              <w:rPr>
                <w:rFonts w:hint="eastAsia" w:ascii="仿宋" w:hAnsi="仿宋" w:eastAsia="仿宋" w:cs="仿宋"/>
                <w:color w:val="auto"/>
                <w:sz w:val="24"/>
                <w:szCs w:val="24"/>
              </w:rPr>
            </w:pPr>
          </w:p>
        </w:tc>
        <w:tc>
          <w:tcPr>
            <w:tcW w:w="4675" w:type="dxa"/>
          </w:tcPr>
          <w:p w14:paraId="1C15EB7D">
            <w:pPr>
              <w:spacing w:before="312" w:beforeLines="100"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是否按时填写行车日志</w:t>
            </w:r>
          </w:p>
        </w:tc>
        <w:tc>
          <w:tcPr>
            <w:tcW w:w="551" w:type="dxa"/>
          </w:tcPr>
          <w:p w14:paraId="0FF7D828">
            <w:pPr>
              <w:spacing w:before="312" w:beforeLines="100"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322C1D6C">
            <w:pPr>
              <w:spacing w:after="0" w:line="240" w:lineRule="auto"/>
              <w:jc w:val="center"/>
              <w:rPr>
                <w:rFonts w:hint="eastAsia" w:ascii="仿宋" w:hAnsi="仿宋" w:eastAsia="仿宋" w:cs="仿宋"/>
                <w:color w:val="auto"/>
                <w:sz w:val="24"/>
                <w:szCs w:val="24"/>
              </w:rPr>
            </w:pPr>
          </w:p>
        </w:tc>
        <w:tc>
          <w:tcPr>
            <w:tcW w:w="830" w:type="dxa"/>
          </w:tcPr>
          <w:p w14:paraId="61717620">
            <w:pPr>
              <w:spacing w:after="0" w:line="240" w:lineRule="auto"/>
              <w:jc w:val="center"/>
              <w:rPr>
                <w:rFonts w:hint="eastAsia" w:ascii="仿宋" w:hAnsi="仿宋" w:eastAsia="仿宋" w:cs="仿宋"/>
                <w:color w:val="auto"/>
                <w:sz w:val="24"/>
                <w:szCs w:val="24"/>
              </w:rPr>
            </w:pPr>
          </w:p>
        </w:tc>
      </w:tr>
      <w:tr w14:paraId="4EE37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tcPr>
          <w:p w14:paraId="6A7C2EF9">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服务满意度</w:t>
            </w:r>
          </w:p>
        </w:tc>
        <w:tc>
          <w:tcPr>
            <w:tcW w:w="4675" w:type="dxa"/>
          </w:tcPr>
          <w:p w14:paraId="3922E817">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热情接待乘车人员</w:t>
            </w:r>
          </w:p>
        </w:tc>
        <w:tc>
          <w:tcPr>
            <w:tcW w:w="551" w:type="dxa"/>
          </w:tcPr>
          <w:p w14:paraId="0B2E87D6">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131DC92E">
            <w:pPr>
              <w:spacing w:after="0" w:line="240" w:lineRule="auto"/>
              <w:jc w:val="center"/>
              <w:rPr>
                <w:rFonts w:hint="eastAsia" w:ascii="仿宋" w:hAnsi="仿宋" w:eastAsia="仿宋" w:cs="仿宋"/>
                <w:color w:val="auto"/>
                <w:sz w:val="24"/>
                <w:szCs w:val="24"/>
              </w:rPr>
            </w:pPr>
          </w:p>
        </w:tc>
        <w:tc>
          <w:tcPr>
            <w:tcW w:w="830" w:type="dxa"/>
          </w:tcPr>
          <w:p w14:paraId="78BB922B">
            <w:pPr>
              <w:spacing w:after="0" w:line="240" w:lineRule="auto"/>
              <w:jc w:val="center"/>
              <w:rPr>
                <w:rFonts w:hint="eastAsia" w:ascii="仿宋" w:hAnsi="仿宋" w:eastAsia="仿宋" w:cs="仿宋"/>
                <w:color w:val="auto"/>
                <w:sz w:val="24"/>
                <w:szCs w:val="24"/>
              </w:rPr>
            </w:pPr>
          </w:p>
        </w:tc>
      </w:tr>
      <w:tr w14:paraId="2CE8D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20368DF0">
            <w:pPr>
              <w:spacing w:after="0" w:line="240" w:lineRule="auto"/>
              <w:jc w:val="center"/>
              <w:rPr>
                <w:rFonts w:hint="eastAsia" w:ascii="仿宋" w:hAnsi="仿宋" w:eastAsia="仿宋" w:cs="仿宋"/>
                <w:color w:val="auto"/>
                <w:sz w:val="24"/>
                <w:szCs w:val="24"/>
              </w:rPr>
            </w:pPr>
          </w:p>
        </w:tc>
        <w:tc>
          <w:tcPr>
            <w:tcW w:w="4675" w:type="dxa"/>
          </w:tcPr>
          <w:p w14:paraId="67EFFAAA">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不与乘车人员发生冲突</w:t>
            </w:r>
          </w:p>
        </w:tc>
        <w:tc>
          <w:tcPr>
            <w:tcW w:w="551" w:type="dxa"/>
          </w:tcPr>
          <w:p w14:paraId="7C703AB9">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7889CBC8">
            <w:pPr>
              <w:spacing w:after="0" w:line="240" w:lineRule="auto"/>
              <w:jc w:val="center"/>
              <w:rPr>
                <w:rFonts w:hint="eastAsia" w:ascii="仿宋" w:hAnsi="仿宋" w:eastAsia="仿宋" w:cs="仿宋"/>
                <w:color w:val="auto"/>
                <w:sz w:val="24"/>
                <w:szCs w:val="24"/>
              </w:rPr>
            </w:pPr>
          </w:p>
        </w:tc>
        <w:tc>
          <w:tcPr>
            <w:tcW w:w="830" w:type="dxa"/>
          </w:tcPr>
          <w:p w14:paraId="595BAC2B">
            <w:pPr>
              <w:spacing w:after="0" w:line="240" w:lineRule="auto"/>
              <w:jc w:val="center"/>
              <w:rPr>
                <w:rFonts w:hint="eastAsia" w:ascii="仿宋" w:hAnsi="仿宋" w:eastAsia="仿宋" w:cs="仿宋"/>
                <w:color w:val="auto"/>
                <w:sz w:val="24"/>
                <w:szCs w:val="24"/>
              </w:rPr>
            </w:pPr>
          </w:p>
        </w:tc>
      </w:tr>
      <w:tr w14:paraId="728FF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tcPr>
          <w:p w14:paraId="6831C467">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投诉问题解决满意度</w:t>
            </w:r>
          </w:p>
        </w:tc>
        <w:tc>
          <w:tcPr>
            <w:tcW w:w="4675" w:type="dxa"/>
          </w:tcPr>
          <w:p w14:paraId="5848863F">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是否接到投诉</w:t>
            </w:r>
          </w:p>
        </w:tc>
        <w:tc>
          <w:tcPr>
            <w:tcW w:w="551" w:type="dxa"/>
          </w:tcPr>
          <w:p w14:paraId="71530F20">
            <w:pPr>
              <w:spacing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1A784294">
            <w:pPr>
              <w:spacing w:after="0" w:line="240" w:lineRule="auto"/>
              <w:jc w:val="center"/>
              <w:rPr>
                <w:rFonts w:hint="eastAsia" w:ascii="仿宋" w:hAnsi="仿宋" w:eastAsia="仿宋" w:cs="仿宋"/>
                <w:color w:val="auto"/>
                <w:sz w:val="24"/>
                <w:szCs w:val="24"/>
              </w:rPr>
            </w:pPr>
          </w:p>
        </w:tc>
        <w:tc>
          <w:tcPr>
            <w:tcW w:w="830" w:type="dxa"/>
          </w:tcPr>
          <w:p w14:paraId="129ED64D">
            <w:pPr>
              <w:spacing w:after="0" w:line="240" w:lineRule="auto"/>
              <w:jc w:val="center"/>
              <w:rPr>
                <w:rFonts w:hint="eastAsia" w:ascii="仿宋" w:hAnsi="仿宋" w:eastAsia="仿宋" w:cs="仿宋"/>
                <w:color w:val="auto"/>
                <w:sz w:val="24"/>
                <w:szCs w:val="24"/>
              </w:rPr>
            </w:pPr>
          </w:p>
        </w:tc>
      </w:tr>
      <w:tr w14:paraId="33880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1271" w:type="dxa"/>
            <w:vMerge w:val="continue"/>
          </w:tcPr>
          <w:p w14:paraId="12ED2495">
            <w:pPr>
              <w:spacing w:after="0" w:line="240" w:lineRule="auto"/>
              <w:jc w:val="center"/>
              <w:rPr>
                <w:rFonts w:hint="eastAsia" w:ascii="仿宋" w:hAnsi="仿宋" w:eastAsia="仿宋" w:cs="仿宋"/>
                <w:color w:val="auto"/>
                <w:sz w:val="24"/>
                <w:szCs w:val="24"/>
              </w:rPr>
            </w:pPr>
          </w:p>
        </w:tc>
        <w:tc>
          <w:tcPr>
            <w:tcW w:w="4675" w:type="dxa"/>
          </w:tcPr>
          <w:p w14:paraId="2EA11131">
            <w:pPr>
              <w:spacing w:after="0" w:line="240" w:lineRule="auto"/>
              <w:rPr>
                <w:rFonts w:hint="eastAsia" w:ascii="仿宋" w:hAnsi="仿宋" w:eastAsia="仿宋" w:cs="仿宋"/>
                <w:color w:val="auto"/>
                <w:sz w:val="24"/>
                <w:szCs w:val="24"/>
              </w:rPr>
            </w:pPr>
            <w:r>
              <w:rPr>
                <w:rFonts w:hint="eastAsia" w:ascii="仿宋" w:hAnsi="仿宋" w:eastAsia="仿宋" w:cs="仿宋"/>
                <w:color w:val="auto"/>
                <w:sz w:val="24"/>
                <w:szCs w:val="24"/>
              </w:rPr>
              <w:t>驾驶员是否能解决乘车人的诉求</w:t>
            </w:r>
          </w:p>
        </w:tc>
        <w:tc>
          <w:tcPr>
            <w:tcW w:w="551" w:type="dxa"/>
          </w:tcPr>
          <w:p w14:paraId="741D4CF4">
            <w:pPr>
              <w:spacing w:before="312" w:beforeLines="100" w:after="0"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1176" w:type="dxa"/>
          </w:tcPr>
          <w:p w14:paraId="231E29C6">
            <w:pPr>
              <w:spacing w:after="0" w:line="240" w:lineRule="auto"/>
              <w:jc w:val="center"/>
              <w:rPr>
                <w:rFonts w:hint="eastAsia" w:ascii="仿宋" w:hAnsi="仿宋" w:eastAsia="仿宋" w:cs="仿宋"/>
                <w:color w:val="auto"/>
                <w:sz w:val="24"/>
                <w:szCs w:val="24"/>
              </w:rPr>
            </w:pPr>
          </w:p>
        </w:tc>
        <w:tc>
          <w:tcPr>
            <w:tcW w:w="830" w:type="dxa"/>
          </w:tcPr>
          <w:p w14:paraId="57355197">
            <w:pPr>
              <w:spacing w:after="0" w:line="240" w:lineRule="auto"/>
              <w:jc w:val="center"/>
              <w:rPr>
                <w:rFonts w:hint="eastAsia" w:ascii="仿宋" w:hAnsi="仿宋" w:eastAsia="仿宋" w:cs="仿宋"/>
                <w:color w:val="auto"/>
                <w:sz w:val="24"/>
                <w:szCs w:val="24"/>
              </w:rPr>
            </w:pPr>
          </w:p>
        </w:tc>
      </w:tr>
    </w:tbl>
    <w:p w14:paraId="27C32C74">
      <w:pPr>
        <w:spacing w:line="56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备注： 1、考核验收结果分为四个层次： </w:t>
      </w:r>
    </w:p>
    <w:p w14:paraId="058D1F2F">
      <w:pPr>
        <w:spacing w:line="560" w:lineRule="exact"/>
        <w:rPr>
          <w:rFonts w:hint="eastAsia" w:ascii="仿宋" w:hAnsi="仿宋" w:eastAsia="仿宋" w:cs="仿宋"/>
          <w:color w:val="auto"/>
          <w:sz w:val="24"/>
          <w:szCs w:val="24"/>
        </w:rPr>
      </w:pPr>
      <w:r>
        <w:rPr>
          <w:rFonts w:hint="eastAsia" w:ascii="仿宋" w:hAnsi="仿宋" w:eastAsia="仿宋" w:cs="仿宋"/>
          <w:color w:val="auto"/>
          <w:sz w:val="24"/>
          <w:szCs w:val="24"/>
        </w:rPr>
        <w:t>优秀：90 分以上（含）；</w:t>
      </w:r>
    </w:p>
    <w:p w14:paraId="11F1F4AA">
      <w:pPr>
        <w:spacing w:line="560" w:lineRule="exact"/>
        <w:rPr>
          <w:rFonts w:hint="eastAsia" w:ascii="仿宋" w:hAnsi="仿宋" w:eastAsia="仿宋" w:cs="仿宋"/>
          <w:color w:val="auto"/>
          <w:sz w:val="24"/>
          <w:szCs w:val="24"/>
        </w:rPr>
      </w:pPr>
      <w:r>
        <w:rPr>
          <w:rFonts w:hint="eastAsia" w:ascii="仿宋" w:hAnsi="仿宋" w:eastAsia="仿宋" w:cs="仿宋"/>
          <w:color w:val="auto"/>
          <w:sz w:val="24"/>
          <w:szCs w:val="24"/>
        </w:rPr>
        <w:t>良好：90 分以下,80 分以上（含）；</w:t>
      </w:r>
    </w:p>
    <w:p w14:paraId="0A43E624">
      <w:pPr>
        <w:spacing w:line="560" w:lineRule="exact"/>
        <w:rPr>
          <w:rFonts w:hint="eastAsia" w:ascii="仿宋" w:hAnsi="仿宋" w:eastAsia="仿宋" w:cs="仿宋"/>
          <w:color w:val="auto"/>
          <w:sz w:val="24"/>
          <w:szCs w:val="24"/>
        </w:rPr>
      </w:pPr>
      <w:r>
        <w:rPr>
          <w:rFonts w:hint="eastAsia" w:ascii="仿宋" w:hAnsi="仿宋" w:eastAsia="仿宋" w:cs="仿宋"/>
          <w:color w:val="auto"/>
          <w:sz w:val="24"/>
          <w:szCs w:val="24"/>
        </w:rPr>
        <w:t>合格：80 分以下，70 分以上（含）；</w:t>
      </w:r>
    </w:p>
    <w:p w14:paraId="69E0B862">
      <w:pPr>
        <w:spacing w:line="560" w:lineRule="exact"/>
        <w:rPr>
          <w:rFonts w:hint="eastAsia" w:ascii="仿宋" w:hAnsi="仿宋" w:eastAsia="仿宋" w:cs="仿宋"/>
          <w:color w:val="auto"/>
          <w:sz w:val="24"/>
          <w:szCs w:val="24"/>
        </w:rPr>
      </w:pPr>
      <w:r>
        <w:rPr>
          <w:rFonts w:hint="eastAsia" w:ascii="仿宋" w:hAnsi="仿宋" w:eastAsia="仿宋" w:cs="仿宋"/>
          <w:color w:val="auto"/>
          <w:sz w:val="24"/>
          <w:szCs w:val="24"/>
        </w:rPr>
        <w:t>不合格：70 分以下（</w:t>
      </w:r>
      <w:r>
        <w:rPr>
          <w:rFonts w:hint="eastAsia" w:ascii="仿宋" w:hAnsi="仿宋" w:eastAsia="仿宋" w:cs="仿宋"/>
          <w:color w:val="auto"/>
          <w:sz w:val="24"/>
          <w:szCs w:val="24"/>
          <w:lang w:val="en-US" w:eastAsia="zh-CN"/>
        </w:rPr>
        <w:t>不</w:t>
      </w:r>
      <w:r>
        <w:rPr>
          <w:rFonts w:hint="eastAsia" w:ascii="仿宋" w:hAnsi="仿宋" w:eastAsia="仿宋" w:cs="仿宋"/>
          <w:color w:val="auto"/>
          <w:sz w:val="24"/>
          <w:szCs w:val="24"/>
        </w:rPr>
        <w:t>含）</w:t>
      </w:r>
    </w:p>
    <w:p w14:paraId="6D0E887A">
      <w:pPr>
        <w:spacing w:line="560" w:lineRule="exact"/>
        <w:rPr>
          <w:rFonts w:hint="eastAsia" w:ascii="仿宋" w:hAnsi="仿宋" w:eastAsia="仿宋" w:cs="仿宋"/>
          <w:color w:val="auto"/>
          <w:sz w:val="24"/>
          <w:szCs w:val="24"/>
        </w:rPr>
      </w:pPr>
    </w:p>
    <w:p w14:paraId="61B3A721">
      <w:pPr>
        <w:rPr>
          <w:rFonts w:hint="eastAsia"/>
          <w:color w:val="auto"/>
        </w:rPr>
      </w:pPr>
    </w:p>
    <w:p w14:paraId="1630997A">
      <w:pPr>
        <w:pStyle w:val="9"/>
        <w:rPr>
          <w:rFonts w:hint="eastAsia"/>
          <w:color w:val="auto"/>
          <w:sz w:val="24"/>
          <w:szCs w:val="24"/>
          <w:lang w:val="en-US" w:eastAsia="zh-Hans"/>
        </w:rPr>
      </w:pPr>
    </w:p>
    <w:p w14:paraId="655F102A">
      <w:bookmarkStart w:id="0" w:name="_GoBack"/>
      <w:bookmarkEnd w:id="0"/>
    </w:p>
    <w:sectPr>
      <w:pgSz w:w="11906" w:h="16838"/>
      <w:pgMar w:top="1440" w:right="1587" w:bottom="1440"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algun Gothic">
    <w:panose1 w:val="020B0503020000020004"/>
    <w:charset w:val="81"/>
    <w:family w:val="swiss"/>
    <w:pitch w:val="default"/>
    <w:sig w:usb0="9000002F" w:usb1="29D77CFB" w:usb2="00000012" w:usb3="00000000" w:csb0="00080001" w:csb1="00000000"/>
  </w:font>
  <w:font w:name="方正小标宋简体">
    <w:panose1 w:val="02000000000000000000"/>
    <w:charset w:val="86"/>
    <w:family w:val="auto"/>
    <w:pitch w:val="default"/>
    <w:sig w:usb0="A00002BF" w:usb1="184F6CFA" w:usb2="00000012" w:usb3="00000000" w:csb0="00040001" w:csb1="00000000"/>
  </w:font>
  <w:font w:name="方正仿宋_GB2312">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51F911"/>
    <w:multiLevelType w:val="singleLevel"/>
    <w:tmpl w:val="E151F911"/>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7C087F"/>
    <w:rsid w:val="657C0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color w:val="000000"/>
      <w:sz w:val="24"/>
    </w:rPr>
  </w:style>
  <w:style w:type="paragraph" w:styleId="3">
    <w:name w:val="Body Text Indent"/>
    <w:basedOn w:val="1"/>
    <w:unhideWhenUsed/>
    <w:qFormat/>
    <w:uiPriority w:val="99"/>
    <w:pPr>
      <w:ind w:left="420" w:leftChars="20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2"/>
    <w:basedOn w:val="3"/>
    <w:qFormat/>
    <w:uiPriority w:val="0"/>
    <w:pPr>
      <w:spacing w:after="0"/>
      <w:ind w:firstLine="420" w:firstLineChars="200"/>
    </w:pPr>
  </w:style>
  <w:style w:type="table" w:styleId="7">
    <w:name w:val="Table Grid"/>
    <w:basedOn w:val="6"/>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styleId="10">
    <w:name w:val="No Spacing"/>
    <w:qFormat/>
    <w:uiPriority w:val="1"/>
    <w:pPr>
      <w:widowControl w:val="0"/>
      <w:jc w:val="both"/>
    </w:pPr>
    <w:rPr>
      <w:rFonts w:ascii="宋体" w:hAnsi="宋体" w:eastAsia="Malgun Gothic" w:cs="宋体"/>
      <w:lang w:val="en-US" w:eastAsia="zh-CN" w:bidi="ar-SA"/>
    </w:rPr>
  </w:style>
  <w:style w:type="paragraph" w:customStyle="1" w:styleId="11">
    <w:name w:val="1"/>
    <w:basedOn w:val="1"/>
    <w:next w:val="4"/>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2025-04-14T01:36:00Z</dcterms:created>
  <dc:creator>十五</dc:creator>
  <cp:lastModifiedBy>十五</cp:lastModifiedBy>
  <dcterms:modified xsi:type="dcterms:W3CDTF">2025-04-14T01:37:08Z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B762AAC104F64C0986D2B3483FF5AC17_11</vt:lpwstr>
  </property>
  <property fmtid="{D5CDD505-2E9C-101B-9397-08002B2CF9AE}" pid="4" name="KSOTemplateDocerSaveRecord">
    <vt:lpwstr>eyJoZGlkIjoiMzg2MWM3NDRiODFjMTY5ZjQ3NWVkNzIxZDU3YTBhY2IiLCJ1c2VySWQiOiI0NzM2OTcxODIifQ==</vt:lpwstr>
  </property>
</Properties>
</file>