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版本号：SXWZ2025ZB-YXY-04420250411001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未央校区通勤班车及教学等用车外包服务项目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SXWZ2025ZB-YXY-044</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未央校区通勤班车及教学等用车外包服务项目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SXWZ2025ZB-YXY-044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未央校区通勤班车及教学等用车外包服务项目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西安医学院未央校区通勤班车及教学等用车外包服务项目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采购包1（西安医学院未央校区通勤班车及教学等用车外包服务项目）：属于专门面向中小企业采购。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2、法定代表人证明及法定代表人授权委托书：非法定代表人参加投标的，须提供法定代表人授权委托书及被授权人身份证原件；法定代表人参加投标时,只须提供法定代表人证明书；</w:t>
      </w:r>
    </w:p>
    <w:p>
      <w:pPr>
        <w:pStyle w:val="null3"/>
      </w:pPr>
      <w:r>
        <w:rPr>
          <w:rFonts w:ascii="仿宋_GB2312" w:hAnsi="仿宋_GB2312" w:cs="仿宋_GB2312" w:eastAsia="仿宋_GB2312"/>
        </w:rPr>
        <w:t>3、财务状况：具有良好的商业信誉和健全的财务会计制度，提供2023年度或2024年度经审计的财务报告（注册会计师统一监管平台申请赋码可查询）或磋商前六个月内其基本账户银行出具的资信证明（附开户许可证或基本账户证明）</w:t>
      </w:r>
    </w:p>
    <w:p>
      <w:pPr>
        <w:pStyle w:val="null3"/>
      </w:pPr>
      <w:r>
        <w:rPr>
          <w:rFonts w:ascii="仿宋_GB2312" w:hAnsi="仿宋_GB2312" w:cs="仿宋_GB2312" w:eastAsia="仿宋_GB2312"/>
        </w:rPr>
        <w:t>4、税收缴纳证明：具有依法缴纳税收的良好记录，提供2024年3月至今已缴纳的至少一个月的纳税证明或完税证明（至少包含增值税或企业所得税）；依法免税的单位应提供相关证明材料；（以税款所属日期为准）</w:t>
      </w:r>
    </w:p>
    <w:p>
      <w:pPr>
        <w:pStyle w:val="null3"/>
      </w:pPr>
      <w:r>
        <w:rPr>
          <w:rFonts w:ascii="仿宋_GB2312" w:hAnsi="仿宋_GB2312" w:cs="仿宋_GB2312" w:eastAsia="仿宋_GB2312"/>
        </w:rPr>
        <w:t>5、社会保障资金缴纳证明：：具有依法缴纳社会保障资金的良好记录，提供2024年3月至今已缴纳的至少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7、供应商特定资格条件：供应商提供交通管理部门核发有效的《道路运输经营许可证》</w:t>
      </w:r>
    </w:p>
    <w:p>
      <w:pPr>
        <w:pStyle w:val="null3"/>
      </w:pPr>
      <w:r>
        <w:rPr>
          <w:rFonts w:ascii="仿宋_GB2312" w:hAnsi="仿宋_GB2312" w:cs="仿宋_GB2312" w:eastAsia="仿宋_GB2312"/>
        </w:rPr>
        <w:t>8、中小企业声明函：本项目专门面向中小企业采购，供应商须提供中小企业声明函；</w:t>
      </w:r>
    </w:p>
    <w:p>
      <w:pPr>
        <w:pStyle w:val="null3"/>
      </w:pPr>
      <w:r>
        <w:rPr>
          <w:rFonts w:ascii="仿宋_GB2312" w:hAnsi="仿宋_GB2312" w:cs="仿宋_GB2312" w:eastAsia="仿宋_GB2312"/>
        </w:rPr>
        <w:t>9、本项目不允许联合体磋商：本项目不允许联合体磋商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许芳芳 陈晓航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规定的标准收取招标代理服务费。成交金额50万元以上的下浮20%收取，成交金额50万元以下的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监管考核工作由后勤保障主管部门对供应商工作进行考核。不定期开展师生满意度调查。 考核验收结果分为四个层次： 优秀：90 分以上（含）； 良好：90 分以下,80 分以上（含） 合格：80 分以下，70 分以上（含）； 不合格：70 分以下（不含）。 注：考核两次不合格，不予续签合同。 评分分类： 1、车辆设施设备满意度2、车内卫生环境满意度3、安全驾驶行为满意度4、文明用语及行为满意度5、服务满意度6、投诉问题解决满意度等。具体详见竞争性磋商文件。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地址：陕西省西安市高新区唐延路旺座现代C座2502室</w:t>
      </w:r>
    </w:p>
    <w:p>
      <w:pPr>
        <w:pStyle w:val="null3"/>
      </w:pPr>
      <w:r>
        <w:rPr>
          <w:rFonts w:ascii="仿宋_GB2312" w:hAnsi="仿宋_GB2312" w:cs="仿宋_GB2312" w:eastAsia="仿宋_GB2312"/>
        </w:rPr>
        <w:t>邮编： 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西安医学院未央校区通勤班车及教学等用车外包服务项目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1,160,000.00</w:t>
      </w:r>
    </w:p>
    <w:p>
      <w:pPr>
        <w:pStyle w:val="null3"/>
      </w:pPr>
      <w:r>
        <w:rPr>
          <w:rFonts w:ascii="仿宋_GB2312" w:hAnsi="仿宋_GB2312" w:cs="仿宋_GB2312" w:eastAsia="仿宋_GB2312"/>
        </w:rPr>
        <w:t>采购包最高限价（元）: 1,160,000.00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关于未央校区通勤班车及教学等用车外包服务项目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交通运输业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标的名称：关于未央校区通勤班车及教学等用车外包服务项目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3.2.2服务要求</w:t>
            </w:r>
          </w:p>
        </w:tc>
        <w:tc>
          <w:tcPr>
            <w:tcW w:type="dxa" w:w="2076"/>
          </w:tcPr>
          <w:p>
            <w:pPr>
              <w:pStyle w:val="null3"/>
              <w:jc w:val="both"/>
            </w:pPr>
            <w:r>
              <w:rPr>
                <w:rFonts w:ascii="仿宋_GB2312" w:hAnsi="仿宋_GB2312" w:cs="仿宋_GB2312" w:eastAsia="仿宋_GB2312"/>
              </w:rPr>
              <w:t>（一）外包费用及测算</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服务项目</w:t>
                  </w:r>
                </w:p>
              </w:tc>
              <w:tc>
                <w:tcPr>
                  <w:tcW w:type="dxa" w:w="4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车辆需求</w:t>
                  </w:r>
                </w:p>
              </w:tc>
              <w:tc>
                <w:tcPr>
                  <w:tcW w:type="dxa" w:w="465"/>
                </w:tcPr>
                <w:p>
                  <w:pPr>
                    <w:pStyle w:val="null3"/>
                  </w:pPr>
                  <w:r>
                    <w:rPr>
                      <w:rFonts w:ascii="仿宋_GB2312" w:hAnsi="仿宋_GB2312" w:cs="仿宋_GB2312" w:eastAsia="仿宋_GB2312"/>
                    </w:rPr>
                    <w:t>使用（趟）</w:t>
                  </w:r>
                </w:p>
                <w:p>
                  <w:pPr>
                    <w:pStyle w:val="null3"/>
                  </w:pPr>
                  <w:r>
                    <w:rPr>
                      <w:rFonts w:ascii="仿宋_GB2312" w:hAnsi="仿宋_GB2312" w:cs="仿宋_GB2312" w:eastAsia="仿宋_GB2312"/>
                    </w:rPr>
                    <w:t>天数</w:t>
                  </w:r>
                </w:p>
              </w:tc>
              <w:tc>
                <w:tcPr>
                  <w:tcW w:type="dxa" w:w="4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备注</w:t>
                  </w:r>
                </w:p>
              </w:tc>
            </w:tr>
            <w:tr>
              <w:tc>
                <w:tcPr>
                  <w:tcW w:type="dxa" w:w="465"/>
                </w:tcPr>
                <w:p>
                  <w:pPr>
                    <w:pStyle w:val="null3"/>
                  </w:pPr>
                  <w:r>
                    <w:rPr>
                      <w:rFonts w:ascii="仿宋_GB2312" w:hAnsi="仿宋_GB2312" w:cs="仿宋_GB2312" w:eastAsia="仿宋_GB2312"/>
                    </w:rPr>
                    <w:t>通勤班车</w:t>
                  </w:r>
                </w:p>
              </w:tc>
              <w:tc>
                <w:tcPr>
                  <w:tcW w:type="dxa" w:w="465"/>
                </w:tcPr>
                <w:p>
                  <w:pPr>
                    <w:pStyle w:val="null3"/>
                  </w:pPr>
                  <w:r>
                    <w:rPr>
                      <w:rFonts w:ascii="仿宋_GB2312" w:hAnsi="仿宋_GB2312" w:cs="仿宋_GB2312" w:eastAsia="仿宋_GB2312"/>
                    </w:rPr>
                    <w:t>5辆（48座及以上）</w:t>
                  </w:r>
                </w:p>
              </w:tc>
              <w:tc>
                <w:tcPr>
                  <w:tcW w:type="dxa" w:w="465"/>
                </w:tcPr>
                <w:p>
                  <w:pPr>
                    <w:pStyle w:val="null3"/>
                  </w:pPr>
                  <w:r>
                    <w:rPr>
                      <w:rFonts w:ascii="仿宋_GB2312" w:hAnsi="仿宋_GB2312" w:cs="仿宋_GB2312" w:eastAsia="仿宋_GB2312"/>
                    </w:rPr>
                    <w:t>200天</w:t>
                  </w:r>
                </w:p>
              </w:tc>
              <w:tc>
                <w:tcPr>
                  <w:tcW w:type="dxa" w:w="465"/>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教学等用车</w:t>
                  </w:r>
                </w:p>
              </w:tc>
              <w:tc>
                <w:tcPr>
                  <w:tcW w:type="dxa" w:w="465"/>
                </w:tcPr>
                <w:p>
                  <w:pPr>
                    <w:pStyle w:val="null3"/>
                  </w:pPr>
                  <w:r>
                    <w:rPr>
                      <w:rFonts w:ascii="仿宋_GB2312" w:hAnsi="仿宋_GB2312" w:cs="仿宋_GB2312" w:eastAsia="仿宋_GB2312"/>
                    </w:rPr>
                    <w:t>（48座及以上）</w:t>
                  </w:r>
                </w:p>
              </w:tc>
              <w:tc>
                <w:tcPr>
                  <w:tcW w:type="dxa" w:w="465"/>
                </w:tcPr>
                <w:p>
                  <w:pPr>
                    <w:pStyle w:val="null3"/>
                  </w:pPr>
                  <w:r>
                    <w:rPr>
                      <w:rFonts w:ascii="仿宋_GB2312" w:hAnsi="仿宋_GB2312" w:cs="仿宋_GB2312" w:eastAsia="仿宋_GB2312"/>
                    </w:rPr>
                    <w:t>450趟</w:t>
                  </w:r>
                </w:p>
              </w:tc>
              <w:tc>
                <w:tcPr>
                  <w:tcW w:type="dxa" w:w="465"/>
                </w:tcPr>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教学用车（</w:t>
                  </w:r>
                  <w:r>
                    <w:rPr>
                      <w:rFonts w:ascii="仿宋_GB2312" w:hAnsi="仿宋_GB2312" w:cs="仿宋_GB2312" w:eastAsia="仿宋_GB2312"/>
                      <w:sz w:val="21"/>
                      <w:color w:val="000000"/>
                    </w:rPr>
                    <w:t>48座）一般基于在不影响通勤情况下，通勤班车到达未央校区后间隙使用当日通勤班车；通勤范围：西安市区域内（往返）（除：临潼、蓝田、周至、户县之外）</w:t>
                  </w:r>
                </w:p>
              </w:tc>
            </w:tr>
          </w:tbl>
          <w:p>
            <w:pPr>
              <w:pStyle w:val="null3"/>
            </w:pPr>
            <w:r>
              <w:rPr>
                <w:rFonts w:ascii="仿宋_GB2312" w:hAnsi="仿宋_GB2312" w:cs="仿宋_GB2312" w:eastAsia="仿宋_GB2312"/>
              </w:rPr>
              <w:t>（二）服务内容：</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）服务内容</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1）外包范围：</w:t>
            </w:r>
          </w:p>
          <w:p>
            <w:pPr>
              <w:pStyle w:val="null3"/>
              <w:jc w:val="both"/>
            </w:pPr>
            <w:r>
              <w:rPr>
                <w:rFonts w:ascii="仿宋_GB2312" w:hAnsi="仿宋_GB2312" w:cs="仿宋_GB2312" w:eastAsia="仿宋_GB2312"/>
                <w:sz w:val="21"/>
                <w:color w:val="000000"/>
              </w:rPr>
              <w:t>1、保障我校含光校区至</w:t>
            </w:r>
            <w:r>
              <w:rPr>
                <w:rFonts w:ascii="仿宋_GB2312" w:hAnsi="仿宋_GB2312" w:cs="仿宋_GB2312" w:eastAsia="仿宋_GB2312"/>
                <w:sz w:val="21"/>
                <w:color w:val="000000"/>
              </w:rPr>
              <w:t>未央校区，教职工早、晚上下班通勤用车服务。</w:t>
            </w:r>
          </w:p>
          <w:p>
            <w:pPr>
              <w:pStyle w:val="null3"/>
              <w:jc w:val="both"/>
            </w:pPr>
            <w:r>
              <w:rPr>
                <w:rFonts w:ascii="仿宋_GB2312" w:hAnsi="仿宋_GB2312" w:cs="仿宋_GB2312" w:eastAsia="仿宋_GB2312"/>
                <w:sz w:val="21"/>
                <w:color w:val="000000"/>
              </w:rPr>
              <w:t>2、保障我校学生实习、见习、校外教学及职工用车等服务。</w:t>
            </w:r>
          </w:p>
          <w:p>
            <w:pPr>
              <w:pStyle w:val="null3"/>
              <w:jc w:val="both"/>
            </w:pPr>
            <w:r>
              <w:rPr>
                <w:rFonts w:ascii="仿宋_GB2312" w:hAnsi="仿宋_GB2312" w:cs="仿宋_GB2312" w:eastAsia="仿宋_GB2312"/>
                <w:sz w:val="21"/>
                <w:color w:val="000000"/>
              </w:rPr>
              <w:t>3、执行我校通勤班车各项工作制度要求及信息化管理。</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2）服务标准：</w:t>
            </w:r>
          </w:p>
          <w:p>
            <w:pPr>
              <w:pStyle w:val="null3"/>
              <w:jc w:val="both"/>
            </w:pPr>
            <w:r>
              <w:rPr>
                <w:rFonts w:ascii="仿宋_GB2312" w:hAnsi="仿宋_GB2312" w:cs="仿宋_GB2312" w:eastAsia="仿宋_GB2312"/>
                <w:sz w:val="21"/>
              </w:rPr>
              <w:t>1、甲方每周工作时间：周一至周五(不含甲方寒暑假及各种法定节假日)，班车每个工作日接送职工上下班（早接晚送），沿固定路线按时接送职工上下班，在每个站点严格按照路线站点时刻表规定时间进行停靠。</w:t>
            </w:r>
          </w:p>
          <w:p>
            <w:pPr>
              <w:pStyle w:val="null3"/>
              <w:jc w:val="both"/>
            </w:pPr>
            <w:r>
              <w:rPr>
                <w:rFonts w:ascii="仿宋_GB2312" w:hAnsi="仿宋_GB2312" w:cs="仿宋_GB2312" w:eastAsia="仿宋_GB2312"/>
                <w:sz w:val="21"/>
              </w:rPr>
              <w:t>2、班车运行路线：东线停靠班车</w:t>
            </w:r>
            <w:r>
              <w:rPr>
                <w:rFonts w:ascii="仿宋_GB2312" w:hAnsi="仿宋_GB2312" w:cs="仿宋_GB2312" w:eastAsia="仿宋_GB2312"/>
                <w:sz w:val="21"/>
              </w:rPr>
              <w:t>4</w:t>
            </w:r>
            <w:r>
              <w:rPr>
                <w:rFonts w:ascii="仿宋_GB2312" w:hAnsi="仿宋_GB2312" w:cs="仿宋_GB2312" w:eastAsia="仿宋_GB2312"/>
                <w:sz w:val="21"/>
              </w:rPr>
              <w:t>辆</w:t>
            </w:r>
            <w:r>
              <w:rPr>
                <w:rFonts w:ascii="仿宋_GB2312" w:hAnsi="仿宋_GB2312" w:cs="仿宋_GB2312" w:eastAsia="仿宋_GB2312"/>
                <w:sz w:val="21"/>
              </w:rPr>
              <w:t>/每天往返一趟，区间：含光校区到未央校区。西线停靠班车</w:t>
            </w:r>
            <w:r>
              <w:rPr>
                <w:rFonts w:ascii="仿宋_GB2312" w:hAnsi="仿宋_GB2312" w:cs="仿宋_GB2312" w:eastAsia="仿宋_GB2312"/>
                <w:sz w:val="21"/>
              </w:rPr>
              <w:t>1</w:t>
            </w:r>
            <w:r>
              <w:rPr>
                <w:rFonts w:ascii="仿宋_GB2312" w:hAnsi="仿宋_GB2312" w:cs="仿宋_GB2312" w:eastAsia="仿宋_GB2312"/>
                <w:sz w:val="21"/>
              </w:rPr>
              <w:t>辆</w:t>
            </w:r>
            <w:r>
              <w:rPr>
                <w:rFonts w:ascii="仿宋_GB2312" w:hAnsi="仿宋_GB2312" w:cs="仿宋_GB2312" w:eastAsia="仿宋_GB2312"/>
                <w:sz w:val="21"/>
              </w:rPr>
              <w:t>/每天往返一趟，区间：含光校区到未央校区。发车时间：上午6:</w:t>
            </w:r>
            <w:r>
              <w:rPr>
                <w:rFonts w:ascii="仿宋_GB2312" w:hAnsi="仿宋_GB2312" w:cs="仿宋_GB2312" w:eastAsia="仿宋_GB2312"/>
                <w:sz w:val="21"/>
              </w:rPr>
              <w:t>5</w:t>
            </w:r>
            <w:r>
              <w:rPr>
                <w:rFonts w:ascii="仿宋_GB2312" w:hAnsi="仿宋_GB2312" w:cs="仿宋_GB2312" w:eastAsia="仿宋_GB2312"/>
                <w:sz w:val="21"/>
              </w:rPr>
              <w:t>0时含光校区发车，下午</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时未央校区发车返回</w:t>
            </w:r>
            <w:r>
              <w:rPr>
                <w:rFonts w:ascii="仿宋_GB2312" w:hAnsi="仿宋_GB2312" w:cs="仿宋_GB2312" w:eastAsia="仿宋_GB2312"/>
                <w:sz w:val="21"/>
              </w:rPr>
              <w:t>含光校区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3、如甲方要求乙方在公休日（周六日）、寒暑假、法定节假日提供上下班车辆服务，则需要提前一个工作日告知乙方，乙方必须保证甲方用车。注：各路线详细班车停靠点及时刻表详见校官网。     </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b/>
              </w:rPr>
              <w:t>3</w:t>
            </w:r>
            <w:r>
              <w:rPr>
                <w:rFonts w:ascii="仿宋_GB2312" w:hAnsi="仿宋_GB2312" w:cs="仿宋_GB2312" w:eastAsia="仿宋_GB2312"/>
                <w:sz w:val="21"/>
                <w:b/>
              </w:rPr>
              <w:t>）服务人员数量及组成：</w:t>
            </w:r>
            <w:r>
              <w:rPr>
                <w:rFonts w:ascii="仿宋_GB2312" w:hAnsi="仿宋_GB2312" w:cs="仿宋_GB2312" w:eastAsia="仿宋_GB2312"/>
                <w:sz w:val="21"/>
              </w:rPr>
              <w:t>通勤车</w:t>
            </w:r>
            <w:r>
              <w:rPr>
                <w:rFonts w:ascii="仿宋_GB2312" w:hAnsi="仿宋_GB2312" w:cs="仿宋_GB2312" w:eastAsia="仿宋_GB2312"/>
                <w:sz w:val="21"/>
              </w:rPr>
              <w:t>5</w:t>
            </w:r>
            <w:r>
              <w:rPr>
                <w:rFonts w:ascii="仿宋_GB2312" w:hAnsi="仿宋_GB2312" w:cs="仿宋_GB2312" w:eastAsia="仿宋_GB2312"/>
                <w:sz w:val="21"/>
              </w:rPr>
              <w:t>辆</w:t>
            </w:r>
            <w:r>
              <w:rPr>
                <w:rFonts w:ascii="仿宋_GB2312" w:hAnsi="仿宋_GB2312" w:cs="仿宋_GB2312" w:eastAsia="仿宋_GB2312"/>
                <w:sz w:val="21"/>
              </w:rPr>
              <w:t>/每天往返一趟，区间：含光校区</w:t>
            </w:r>
            <w:r>
              <w:rPr>
                <w:rFonts w:ascii="仿宋_GB2312" w:hAnsi="仿宋_GB2312" w:cs="仿宋_GB2312" w:eastAsia="仿宋_GB2312"/>
                <w:sz w:val="21"/>
              </w:rPr>
              <w:t>、</w:t>
            </w:r>
            <w:r>
              <w:rPr>
                <w:rFonts w:ascii="仿宋_GB2312" w:hAnsi="仿宋_GB2312" w:cs="仿宋_GB2312" w:eastAsia="仿宋_GB2312"/>
                <w:sz w:val="21"/>
              </w:rPr>
              <w:t>高新校区</w:t>
            </w:r>
            <w:r>
              <w:rPr>
                <w:rFonts w:ascii="仿宋_GB2312" w:hAnsi="仿宋_GB2312" w:cs="仿宋_GB2312" w:eastAsia="仿宋_GB2312"/>
                <w:sz w:val="21"/>
              </w:rPr>
              <w:t>往返未央校区。其中东线</w:t>
            </w:r>
            <w:r>
              <w:rPr>
                <w:rFonts w:ascii="仿宋_GB2312" w:hAnsi="仿宋_GB2312" w:cs="仿宋_GB2312" w:eastAsia="仿宋_GB2312"/>
                <w:sz w:val="21"/>
              </w:rPr>
              <w:t>4</w:t>
            </w:r>
            <w:r>
              <w:rPr>
                <w:rFonts w:ascii="仿宋_GB2312" w:hAnsi="仿宋_GB2312" w:cs="仿宋_GB2312" w:eastAsia="仿宋_GB2312"/>
                <w:sz w:val="21"/>
              </w:rPr>
              <w:t>辆（沿途停靠），西线</w:t>
            </w:r>
            <w:r>
              <w:rPr>
                <w:rFonts w:ascii="仿宋_GB2312" w:hAnsi="仿宋_GB2312" w:cs="仿宋_GB2312" w:eastAsia="仿宋_GB2312"/>
                <w:sz w:val="21"/>
              </w:rPr>
              <w:t>1辆（沿途停靠）。注：具体发车时间</w:t>
            </w:r>
            <w:r>
              <w:rPr>
                <w:rFonts w:ascii="仿宋_GB2312" w:hAnsi="仿宋_GB2312" w:cs="仿宋_GB2312" w:eastAsia="仿宋_GB2312"/>
                <w:sz w:val="21"/>
              </w:rPr>
              <w:t>数量</w:t>
            </w:r>
            <w:r>
              <w:rPr>
                <w:rFonts w:ascii="仿宋_GB2312" w:hAnsi="仿宋_GB2312" w:cs="仿宋_GB2312" w:eastAsia="仿宋_GB2312"/>
                <w:sz w:val="21"/>
              </w:rPr>
              <w:t>根据实际情况做相应调整。</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1、通勤车为（含驾驶员）48座（含）以上大型客车（燃油车或新能源车），</w:t>
            </w:r>
            <w:r>
              <w:rPr>
                <w:rFonts w:ascii="仿宋_GB2312" w:hAnsi="仿宋_GB2312" w:cs="仿宋_GB2312" w:eastAsia="仿宋_GB2312"/>
                <w:sz w:val="21"/>
                <w:color w:val="000000"/>
              </w:rPr>
              <w:t>必须提供交通管理部门颁发的《中华人民共和国道路运输经营许可证》</w:t>
            </w:r>
            <w:r>
              <w:rPr>
                <w:rFonts w:ascii="仿宋_GB2312" w:hAnsi="仿宋_GB2312" w:cs="仿宋_GB2312" w:eastAsia="仿宋_GB2312"/>
                <w:sz w:val="21"/>
                <w:color w:val="000000"/>
              </w:rPr>
              <w:t>。车辆手续齐全，交强、商业险齐备，其中乘客座位险需</w:t>
            </w:r>
            <w:r>
              <w:rPr>
                <w:rFonts w:ascii="仿宋_GB2312" w:hAnsi="仿宋_GB2312" w:cs="仿宋_GB2312" w:eastAsia="仿宋_GB2312"/>
                <w:sz w:val="21"/>
                <w:color w:val="000000"/>
              </w:rPr>
              <w:t>100（含）万元以上。保证提供的车辆品牌为国内知名品牌，证照齐全，车况良好，空调暖风良好，5年内车辆，行驶公里数在10万公里以内，并保证车辆不是拼装车、下线车、报废车和个人机动车。</w:t>
            </w:r>
          </w:p>
          <w:p>
            <w:pPr>
              <w:pStyle w:val="null3"/>
              <w:jc w:val="both"/>
            </w:pPr>
            <w:r>
              <w:rPr>
                <w:rFonts w:ascii="仿宋_GB2312" w:hAnsi="仿宋_GB2312" w:cs="仿宋_GB2312" w:eastAsia="仿宋_GB2312"/>
                <w:sz w:val="21"/>
                <w:color w:val="000000"/>
              </w:rPr>
              <w:t>2、配备驾驶员需要三证齐全，驾龄在6年以上，个人综合素质较高。最近3年内任意记分周期未记满12分，无致人伤亡的责任事故。上班期间驾驶员统一着装。</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4</w:t>
            </w:r>
            <w:r>
              <w:rPr>
                <w:rFonts w:ascii="仿宋_GB2312" w:hAnsi="仿宋_GB2312" w:cs="仿宋_GB2312" w:eastAsia="仿宋_GB2312"/>
                <w:sz w:val="21"/>
                <w:b/>
                <w:color w:val="000000"/>
              </w:rPr>
              <w:t>）其他要求：</w:t>
            </w:r>
          </w:p>
          <w:p>
            <w:pPr>
              <w:pStyle w:val="null3"/>
              <w:jc w:val="both"/>
            </w:pPr>
            <w:r>
              <w:rPr>
                <w:rFonts w:ascii="仿宋_GB2312" w:hAnsi="仿宋_GB2312" w:cs="仿宋_GB2312" w:eastAsia="仿宋_GB2312"/>
                <w:sz w:val="21"/>
                <w:color w:val="000000"/>
              </w:rPr>
              <w:t>1、服务要求：平稳驾驶，不得急停急驶。保持车内干净卫生，不得随意更改线路，不得私自搭乘校外其他人员，不得随意更换车辆或驾驶员。本着服务第一的原则处理乘车途中教职工提出的合理要求。如</w:t>
            </w:r>
            <w:r>
              <w:rPr>
                <w:rFonts w:ascii="仿宋_GB2312" w:hAnsi="仿宋_GB2312" w:cs="仿宋_GB2312" w:eastAsia="仿宋_GB2312"/>
                <w:sz w:val="21"/>
                <w:color w:val="000000"/>
              </w:rPr>
              <w:t>因乙方</w:t>
            </w:r>
            <w:r>
              <w:rPr>
                <w:rFonts w:ascii="仿宋_GB2312" w:hAnsi="仿宋_GB2312" w:cs="仿宋_GB2312" w:eastAsia="仿宋_GB2312"/>
                <w:sz w:val="21"/>
                <w:color w:val="000000"/>
              </w:rPr>
              <w:t>及驾驶员</w:t>
            </w:r>
            <w:r>
              <w:rPr>
                <w:rFonts w:ascii="仿宋_GB2312" w:hAnsi="仿宋_GB2312" w:cs="仿宋_GB2312" w:eastAsia="仿宋_GB2312"/>
                <w:sz w:val="21"/>
                <w:color w:val="000000"/>
              </w:rPr>
              <w:t>自身</w:t>
            </w:r>
            <w:r>
              <w:rPr>
                <w:rFonts w:ascii="仿宋_GB2312" w:hAnsi="仿宋_GB2312" w:cs="仿宋_GB2312" w:eastAsia="仿宋_GB2312"/>
                <w:sz w:val="21"/>
                <w:color w:val="000000"/>
              </w:rPr>
              <w:t>原因未按约定时间发车，</w:t>
            </w:r>
            <w:r>
              <w:rPr>
                <w:rFonts w:ascii="仿宋_GB2312" w:hAnsi="仿宋_GB2312" w:cs="仿宋_GB2312" w:eastAsia="仿宋_GB2312"/>
                <w:sz w:val="21"/>
                <w:color w:val="000000"/>
              </w:rPr>
              <w:t>导致通勤车延误或教师发生冲突，第一次</w:t>
            </w:r>
            <w:r>
              <w:rPr>
                <w:rFonts w:ascii="仿宋_GB2312" w:hAnsi="仿宋_GB2312" w:cs="仿宋_GB2312" w:eastAsia="仿宋_GB2312"/>
                <w:sz w:val="21"/>
                <w:color w:val="000000"/>
              </w:rPr>
              <w:t>甲方将从当月租赁费用中扣除</w:t>
            </w:r>
            <w:r>
              <w:rPr>
                <w:rFonts w:ascii="仿宋_GB2312" w:hAnsi="仿宋_GB2312" w:cs="仿宋_GB2312" w:eastAsia="仿宋_GB2312"/>
                <w:sz w:val="21"/>
                <w:color w:val="000000"/>
              </w:rPr>
              <w:t>2000元/次</w:t>
            </w:r>
            <w:r>
              <w:rPr>
                <w:rFonts w:ascii="仿宋_GB2312" w:hAnsi="仿宋_GB2312" w:cs="仿宋_GB2312" w:eastAsia="仿宋_GB2312"/>
                <w:sz w:val="21"/>
                <w:color w:val="000000"/>
              </w:rPr>
              <w:t>，第二次翻倍处罚。</w:t>
            </w:r>
            <w:r>
              <w:rPr>
                <w:rFonts w:ascii="仿宋_GB2312" w:hAnsi="仿宋_GB2312" w:cs="仿宋_GB2312" w:eastAsia="仿宋_GB2312"/>
                <w:sz w:val="21"/>
                <w:color w:val="000000"/>
              </w:rPr>
              <w:t>3次以上</w:t>
            </w:r>
            <w:r>
              <w:rPr>
                <w:rFonts w:ascii="仿宋_GB2312" w:hAnsi="仿宋_GB2312" w:cs="仿宋_GB2312" w:eastAsia="仿宋_GB2312"/>
                <w:sz w:val="21"/>
                <w:color w:val="000000"/>
              </w:rPr>
              <w:t>即</w:t>
            </w:r>
            <w:r>
              <w:rPr>
                <w:rFonts w:ascii="仿宋_GB2312" w:hAnsi="仿宋_GB2312" w:cs="仿宋_GB2312" w:eastAsia="仿宋_GB2312"/>
                <w:sz w:val="21"/>
                <w:color w:val="000000"/>
              </w:rPr>
              <w:t>解除协议。</w:t>
            </w:r>
          </w:p>
          <w:p>
            <w:pPr>
              <w:pStyle w:val="null3"/>
              <w:jc w:val="both"/>
            </w:pPr>
            <w:r>
              <w:rPr>
                <w:rFonts w:ascii="仿宋_GB2312" w:hAnsi="仿宋_GB2312" w:cs="仿宋_GB2312" w:eastAsia="仿宋_GB2312"/>
                <w:sz w:val="21"/>
                <w:color w:val="000000"/>
              </w:rPr>
              <w:t>2、因校方工作需要，包括（夜间、周末、假期）以及其他时段安排的任务用车，中标方须无条件保障，不得推脱，用车费用参照通勤车优惠价格，周末假期车辆因非执行学校任务的其他出行活动，不得使用学校标识，一切行为与学校无关，责任自负。</w:t>
            </w:r>
          </w:p>
          <w:p>
            <w:pPr>
              <w:pStyle w:val="null3"/>
              <w:jc w:val="both"/>
            </w:pPr>
            <w:r>
              <w:rPr>
                <w:rFonts w:ascii="仿宋_GB2312" w:hAnsi="仿宋_GB2312" w:cs="仿宋_GB2312" w:eastAsia="仿宋_GB2312"/>
                <w:sz w:val="21"/>
                <w:color w:val="000000"/>
              </w:rPr>
              <w:t>3、如5辆车不能满足通勤及教学使用，如需增加车辆，中标方仍按合同价满足学校用车，如车辆有剩余，学校可以减少使用车辆。</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学校除了定期向服务方支付</w:t>
            </w:r>
            <w:r>
              <w:rPr>
                <w:rFonts w:ascii="仿宋_GB2312" w:hAnsi="仿宋_GB2312" w:cs="仿宋_GB2312" w:eastAsia="仿宋_GB2312"/>
                <w:sz w:val="21"/>
                <w:color w:val="000000"/>
              </w:rPr>
              <w:t>租赁</w:t>
            </w:r>
            <w:r>
              <w:rPr>
                <w:rFonts w:ascii="仿宋_GB2312" w:hAnsi="仿宋_GB2312" w:cs="仿宋_GB2312" w:eastAsia="仿宋_GB2312"/>
                <w:sz w:val="21"/>
                <w:color w:val="000000"/>
              </w:rPr>
              <w:t>费用外，不再负担任何其他费用。针对本项目服务方需要提供消防人员疏散等相关需求的演练、服务期间的安全（人员、财、物）保障措施预案。</w:t>
            </w:r>
            <w:r>
              <w:rPr>
                <w:rFonts w:ascii="仿宋_GB2312" w:hAnsi="仿宋_GB2312" w:cs="仿宋_GB2312" w:eastAsia="仿宋_GB2312"/>
                <w:sz w:val="24"/>
                <w:color w:val="000000"/>
              </w:rPr>
              <w:t xml:space="preserve">                                         </w:t>
            </w:r>
          </w:p>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服务事项的验收（考核）标准</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监管考核工作由</w:t>
            </w:r>
            <w:r>
              <w:rPr>
                <w:rFonts w:ascii="仿宋_GB2312" w:hAnsi="仿宋_GB2312" w:cs="仿宋_GB2312" w:eastAsia="仿宋_GB2312"/>
                <w:sz w:val="21"/>
                <w:color w:val="000000"/>
              </w:rPr>
              <w:t>后勤保障</w:t>
            </w:r>
            <w:r>
              <w:rPr>
                <w:rFonts w:ascii="仿宋_GB2312" w:hAnsi="仿宋_GB2312" w:cs="仿宋_GB2312" w:eastAsia="仿宋_GB2312"/>
                <w:sz w:val="21"/>
                <w:color w:val="000000"/>
              </w:rPr>
              <w:t>主管部门</w:t>
            </w:r>
            <w:r>
              <w:rPr>
                <w:rFonts w:ascii="仿宋_GB2312" w:hAnsi="仿宋_GB2312" w:cs="仿宋_GB2312" w:eastAsia="仿宋_GB2312"/>
                <w:sz w:val="21"/>
                <w:color w:val="000000"/>
              </w:rPr>
              <w:t>对供应商工作进行考核。</w:t>
            </w:r>
            <w:r>
              <w:rPr>
                <w:rFonts w:ascii="仿宋_GB2312" w:hAnsi="仿宋_GB2312" w:cs="仿宋_GB2312" w:eastAsia="仿宋_GB2312"/>
                <w:sz w:val="21"/>
                <w:color w:val="000000"/>
              </w:rPr>
              <w:t>不定期开展师生满意度调查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考核验收结果分为四个层次：</w:t>
            </w:r>
          </w:p>
          <w:p>
            <w:pPr>
              <w:pStyle w:val="null3"/>
              <w:jc w:val="both"/>
            </w:pPr>
            <w:r>
              <w:rPr>
                <w:rFonts w:ascii="仿宋_GB2312" w:hAnsi="仿宋_GB2312" w:cs="仿宋_GB2312" w:eastAsia="仿宋_GB2312"/>
                <w:sz w:val="21"/>
                <w:color w:val="000000"/>
              </w:rPr>
              <w:t>优秀：</w:t>
            </w:r>
            <w:r>
              <w:rPr>
                <w:rFonts w:ascii="仿宋_GB2312" w:hAnsi="仿宋_GB2312" w:cs="仿宋_GB2312" w:eastAsia="仿宋_GB2312"/>
                <w:sz w:val="21"/>
                <w:color w:val="000000"/>
              </w:rPr>
              <w:t>90 分以上（含）；</w:t>
            </w:r>
          </w:p>
          <w:p>
            <w:pPr>
              <w:pStyle w:val="null3"/>
              <w:jc w:val="both"/>
            </w:pPr>
            <w:r>
              <w:rPr>
                <w:rFonts w:ascii="仿宋_GB2312" w:hAnsi="仿宋_GB2312" w:cs="仿宋_GB2312" w:eastAsia="仿宋_GB2312"/>
                <w:sz w:val="21"/>
                <w:color w:val="000000"/>
              </w:rPr>
              <w:t>良</w:t>
            </w:r>
            <w:r>
              <w:rPr>
                <w:rFonts w:ascii="仿宋_GB2312" w:hAnsi="仿宋_GB2312" w:cs="仿宋_GB2312" w:eastAsia="仿宋_GB2312"/>
                <w:sz w:val="21"/>
                <w:color w:val="000000"/>
              </w:rPr>
              <w:t>好</w:t>
            </w:r>
            <w:r>
              <w:rPr>
                <w:rFonts w:ascii="仿宋_GB2312" w:hAnsi="仿宋_GB2312" w:cs="仿宋_GB2312" w:eastAsia="仿宋_GB2312"/>
                <w:sz w:val="21"/>
                <w:color w:val="000000"/>
              </w:rPr>
              <w:t>：</w:t>
            </w:r>
            <w:r>
              <w:rPr>
                <w:rFonts w:ascii="仿宋_GB2312" w:hAnsi="仿宋_GB2312" w:cs="仿宋_GB2312" w:eastAsia="仿宋_GB2312"/>
                <w:sz w:val="21"/>
                <w:color w:val="000000"/>
              </w:rPr>
              <w:t>90 分以下,80 分以上（含）</w:t>
            </w:r>
          </w:p>
          <w:p>
            <w:pPr>
              <w:pStyle w:val="null3"/>
              <w:jc w:val="both"/>
            </w:pPr>
            <w:r>
              <w:rPr>
                <w:rFonts w:ascii="仿宋_GB2312" w:hAnsi="仿宋_GB2312" w:cs="仿宋_GB2312" w:eastAsia="仿宋_GB2312"/>
                <w:sz w:val="21"/>
                <w:color w:val="000000"/>
              </w:rPr>
              <w:t>合格：</w:t>
            </w:r>
            <w:r>
              <w:rPr>
                <w:rFonts w:ascii="仿宋_GB2312" w:hAnsi="仿宋_GB2312" w:cs="仿宋_GB2312" w:eastAsia="仿宋_GB2312"/>
                <w:sz w:val="21"/>
                <w:color w:val="000000"/>
              </w:rPr>
              <w:t>80 分以下，70 分以上（含）；</w:t>
            </w:r>
          </w:p>
          <w:p>
            <w:pPr>
              <w:pStyle w:val="null3"/>
              <w:jc w:val="both"/>
            </w:pPr>
            <w:r>
              <w:rPr>
                <w:rFonts w:ascii="仿宋_GB2312" w:hAnsi="仿宋_GB2312" w:cs="仿宋_GB2312" w:eastAsia="仿宋_GB2312"/>
                <w:sz w:val="21"/>
                <w:color w:val="000000"/>
              </w:rPr>
              <w:t>不合格：</w:t>
            </w:r>
            <w:r>
              <w:rPr>
                <w:rFonts w:ascii="仿宋_GB2312" w:hAnsi="仿宋_GB2312" w:cs="仿宋_GB2312" w:eastAsia="仿宋_GB2312"/>
                <w:sz w:val="21"/>
                <w:color w:val="000000"/>
              </w:rPr>
              <w:t>70 分以下（</w:t>
            </w:r>
            <w:r>
              <w:rPr>
                <w:rFonts w:ascii="仿宋_GB2312" w:hAnsi="仿宋_GB2312" w:cs="仿宋_GB2312" w:eastAsia="仿宋_GB2312"/>
                <w:sz w:val="21"/>
                <w:color w:val="000000"/>
              </w:rPr>
              <w:t>不</w:t>
            </w:r>
            <w:r>
              <w:rPr>
                <w:rFonts w:ascii="仿宋_GB2312" w:hAnsi="仿宋_GB2312" w:cs="仿宋_GB2312" w:eastAsia="仿宋_GB2312"/>
                <w:sz w:val="21"/>
                <w:color w:val="000000"/>
              </w:rPr>
              <w:t>含）。</w:t>
            </w:r>
          </w:p>
          <w:p>
            <w:pPr>
              <w:pStyle w:val="null3"/>
              <w:jc w:val="both"/>
            </w:pPr>
            <w:r>
              <w:rPr>
                <w:rFonts w:ascii="仿宋_GB2312" w:hAnsi="仿宋_GB2312" w:cs="仿宋_GB2312" w:eastAsia="仿宋_GB2312"/>
                <w:sz w:val="21"/>
                <w:color w:val="000000"/>
              </w:rPr>
              <w:t>注：考核两次不合格，不予续签合同。</w:t>
            </w:r>
          </w:p>
          <w:p>
            <w:pPr>
              <w:pStyle w:val="null3"/>
              <w:jc w:val="both"/>
            </w:pPr>
            <w:r>
              <w:rPr>
                <w:rFonts w:ascii="仿宋_GB2312" w:hAnsi="仿宋_GB2312" w:cs="仿宋_GB2312" w:eastAsia="仿宋_GB2312"/>
                <w:sz w:val="21"/>
                <w:color w:val="000000"/>
              </w:rPr>
              <w:t>评分分类：</w:t>
            </w:r>
          </w:p>
          <w:p>
            <w:pPr>
              <w:pStyle w:val="null3"/>
              <w:jc w:val="both"/>
            </w:pPr>
            <w:r>
              <w:rPr>
                <w:rFonts w:ascii="仿宋_GB2312" w:hAnsi="仿宋_GB2312" w:cs="仿宋_GB2312" w:eastAsia="仿宋_GB2312"/>
                <w:sz w:val="21"/>
                <w:color w:val="000000"/>
              </w:rPr>
              <w:t>1、车辆设施设备满意度2、车内卫生环境满意度3、安全驾驶行为满意度4、文明用语及行为满意度5、服务满意度6、投诉问题解决满意度等</w:t>
            </w:r>
          </w:p>
          <w:p>
            <w:pPr>
              <w:pStyle w:val="null3"/>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四</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服务期限：</w:t>
            </w:r>
            <w:r>
              <w:rPr>
                <w:rFonts w:ascii="仿宋_GB2312" w:hAnsi="仿宋_GB2312" w:cs="仿宋_GB2312" w:eastAsia="仿宋_GB2312"/>
                <w:sz w:val="21"/>
                <w:color w:val="000000"/>
              </w:rPr>
              <w:t>一年。</w:t>
            </w:r>
            <w:r>
              <w:rPr>
                <w:rFonts w:ascii="仿宋_GB2312" w:hAnsi="仿宋_GB2312" w:cs="仿宋_GB2312" w:eastAsia="仿宋_GB2312"/>
                <w:sz w:val="21"/>
              </w:rPr>
              <w:t>本项目合同期满前，采购人将对成交供应商当年的服务质量、工作内容等进行考核，根据服务考评情况及服务满意程度，采购人有权决定是否续签合同，</w:t>
            </w:r>
            <w:r>
              <w:rPr>
                <w:rFonts w:ascii="仿宋_GB2312" w:hAnsi="仿宋_GB2312" w:cs="仿宋_GB2312" w:eastAsia="仿宋_GB2312"/>
                <w:sz w:val="21"/>
              </w:rPr>
              <w:t>累</w:t>
            </w:r>
            <w:r>
              <w:rPr>
                <w:rFonts w:ascii="仿宋_GB2312" w:hAnsi="仿宋_GB2312" w:cs="仿宋_GB2312" w:eastAsia="仿宋_GB2312"/>
                <w:sz w:val="21"/>
              </w:rPr>
              <w:t>计合同履行期限不超过两年。</w:t>
            </w:r>
          </w:p>
          <w:p>
            <w:pPr>
              <w:pStyle w:val="null3"/>
              <w:jc w:val="both"/>
            </w:pPr>
            <w:r>
              <w:rPr>
                <w:rFonts w:ascii="仿宋_GB2312" w:hAnsi="仿宋_GB2312" w:cs="仿宋_GB2312" w:eastAsia="仿宋_GB2312"/>
                <w:sz w:val="21"/>
                <w:b/>
                <w:color w:val="000000"/>
              </w:rPr>
              <w:t>（五）</w:t>
            </w:r>
            <w:r>
              <w:rPr>
                <w:rFonts w:ascii="仿宋_GB2312" w:hAnsi="仿宋_GB2312" w:cs="仿宋_GB2312" w:eastAsia="仿宋_GB2312"/>
                <w:sz w:val="21"/>
                <w:b/>
                <w:color w:val="000000"/>
              </w:rPr>
              <w:t>交付地点</w:t>
            </w:r>
            <w:r>
              <w:rPr>
                <w:rFonts w:ascii="仿宋_GB2312" w:hAnsi="仿宋_GB2312" w:cs="仿宋_GB2312" w:eastAsia="仿宋_GB2312"/>
                <w:sz w:val="21"/>
                <w:color w:val="000000"/>
              </w:rPr>
              <w:t>：</w:t>
            </w:r>
            <w:r>
              <w:rPr>
                <w:rFonts w:ascii="仿宋_GB2312" w:hAnsi="仿宋_GB2312" w:cs="仿宋_GB2312" w:eastAsia="仿宋_GB2312"/>
                <w:sz w:val="21"/>
                <w:color w:val="000000"/>
              </w:rPr>
              <w:t>西安医学院指定地点</w:t>
            </w:r>
            <w:r>
              <w:rPr>
                <w:rFonts w:ascii="仿宋_GB2312" w:hAnsi="仿宋_GB2312" w:cs="仿宋_GB2312" w:eastAsia="仿宋_GB2312"/>
                <w:sz w:val="21"/>
                <w:color w:val="000000"/>
              </w:rPr>
              <w:t xml:space="preserve">  </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3.2.3违约责任：</w:t>
            </w:r>
          </w:p>
        </w:tc>
        <w:tc>
          <w:tcPr>
            <w:tcW w:type="dxa" w:w="2076"/>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乙方在受委托服务期内，不得将</w:t>
            </w:r>
            <w:r>
              <w:rPr>
                <w:rFonts w:ascii="仿宋_GB2312" w:hAnsi="仿宋_GB2312" w:cs="仿宋_GB2312" w:eastAsia="仿宋_GB2312"/>
                <w:sz w:val="21"/>
                <w:color w:val="000000"/>
              </w:rPr>
              <w:t>该服务项目</w:t>
            </w:r>
            <w:r>
              <w:rPr>
                <w:rFonts w:ascii="仿宋_GB2312" w:hAnsi="仿宋_GB2312" w:cs="仿宋_GB2312" w:eastAsia="仿宋_GB2312"/>
                <w:sz w:val="21"/>
                <w:color w:val="000000"/>
              </w:rPr>
              <w:t>转让第三方经营，如有违约，甲方有权单方解除合同</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因乙方人员的行为违法给甲方或第三人造成损失的，乙方要承担相应的连带赔偿责任。</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、在合同期内，由于乙方的原因造成甲方不能正常使用，乙方应承担给甲方造成的全部损失，甲方有权终止租赁协议；因乙方原因未按约定时间发车，每次甲方将从当月租赁费用中扣除</w:t>
            </w:r>
            <w:r>
              <w:rPr>
                <w:rFonts w:ascii="仿宋_GB2312" w:hAnsi="仿宋_GB2312" w:cs="仿宋_GB2312" w:eastAsia="仿宋_GB2312"/>
                <w:sz w:val="21"/>
                <w:color w:val="000000"/>
              </w:rPr>
              <w:t>2000元/次，但因暴风雨雪天气、交通管制等不可抗力因素造成的车辆不准点，不执行违约责任。</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、甲、乙双方其中一方单方面要求解除合同的</w:t>
            </w:r>
            <w:r>
              <w:rPr>
                <w:rFonts w:ascii="仿宋_GB2312" w:hAnsi="仿宋_GB2312" w:cs="仿宋_GB2312" w:eastAsia="仿宋_GB2312"/>
                <w:sz w:val="21"/>
                <w:color w:val="000000"/>
              </w:rPr>
              <w:t>, 应提前一个月以书面形式通知另一方，并向对方支付未执行金额的20%作为违约金。</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、甲乙双方任何一方由于不可抗力的原因，不能或不能完全履行合同时，应在不可抗力原因发生后</w:t>
            </w:r>
            <w:r>
              <w:rPr>
                <w:rFonts w:ascii="仿宋_GB2312" w:hAnsi="仿宋_GB2312" w:cs="仿宋_GB2312" w:eastAsia="仿宋_GB2312"/>
                <w:sz w:val="21"/>
                <w:color w:val="000000"/>
              </w:rPr>
              <w:t>10日内向对方书面通报不能履行或不能完全履行的理由，并出示有关主管机关的文字证明后，允许延期履行合同或不履行合同，并根据具体情况，可允许部分或全部免于承担违约责任。任何一方在违约后发生的不可抗力不能作为免责的抗辩。</w:t>
            </w:r>
          </w:p>
          <w:p>
            <w:pPr>
              <w:pStyle w:val="null3"/>
              <w:jc w:val="both"/>
            </w:pP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3.2.4付款方式及进度安排</w:t>
            </w:r>
          </w:p>
        </w:tc>
        <w:tc>
          <w:tcPr>
            <w:tcW w:type="dxa" w:w="2076"/>
          </w:tcPr>
          <w:p>
            <w:pPr>
              <w:pStyle w:val="null3"/>
              <w:jc w:val="both"/>
            </w:pPr>
            <w:r>
              <w:rPr>
                <w:rFonts w:ascii="仿宋_GB2312" w:hAnsi="仿宋_GB2312" w:cs="仿宋_GB2312" w:eastAsia="仿宋_GB2312"/>
                <w:sz w:val="21"/>
                <w:b/>
                <w:color w:val="000000"/>
              </w:rPr>
              <w:t>付款方式及进度安排</w:t>
            </w:r>
            <w:r>
              <w:rPr>
                <w:rFonts w:ascii="仿宋_GB2312" w:hAnsi="仿宋_GB2312" w:cs="仿宋_GB2312" w:eastAsia="仿宋_GB2312"/>
                <w:sz w:val="21"/>
                <w:color w:val="000000"/>
              </w:rPr>
              <w:t>：</w:t>
            </w: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按</w:t>
            </w:r>
            <w:r>
              <w:rPr>
                <w:rFonts w:ascii="仿宋_GB2312" w:hAnsi="仿宋_GB2312" w:cs="仿宋_GB2312" w:eastAsia="仿宋_GB2312"/>
                <w:sz w:val="21"/>
                <w:color w:val="000000"/>
              </w:rPr>
              <w:t>月据实</w:t>
            </w:r>
            <w:r>
              <w:rPr>
                <w:rFonts w:ascii="仿宋_GB2312" w:hAnsi="仿宋_GB2312" w:cs="仿宋_GB2312" w:eastAsia="仿宋_GB2312"/>
                <w:sz w:val="21"/>
                <w:color w:val="000000"/>
              </w:rPr>
              <w:t>结算</w:t>
            </w:r>
            <w:r>
              <w:rPr>
                <w:rFonts w:ascii="仿宋_GB2312" w:hAnsi="仿宋_GB2312" w:cs="仿宋_GB2312" w:eastAsia="仿宋_GB2312"/>
                <w:sz w:val="21"/>
                <w:color w:val="000000"/>
              </w:rPr>
              <w:t>（</w:t>
            </w:r>
            <w:r>
              <w:rPr>
                <w:rFonts w:ascii="仿宋_GB2312" w:hAnsi="仿宋_GB2312" w:cs="仿宋_GB2312" w:eastAsia="仿宋_GB2312"/>
                <w:sz w:val="21"/>
                <w:color w:val="000000"/>
              </w:rPr>
              <w:t>如遇节假日寒暑假顺延</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采购方</w:t>
            </w:r>
            <w:r>
              <w:rPr>
                <w:rFonts w:ascii="仿宋_GB2312" w:hAnsi="仿宋_GB2312" w:cs="仿宋_GB2312" w:eastAsia="仿宋_GB2312"/>
                <w:sz w:val="21"/>
                <w:color w:val="000000"/>
              </w:rPr>
              <w:t>根据上月实际出车趟数结算费用</w:t>
            </w:r>
            <w:r>
              <w:rPr>
                <w:rFonts w:ascii="仿宋_GB2312" w:hAnsi="仿宋_GB2312" w:cs="仿宋_GB2312" w:eastAsia="仿宋_GB2312"/>
                <w:sz w:val="21"/>
                <w:color w:val="000000"/>
              </w:rPr>
              <w:t>，</w:t>
            </w:r>
            <w:r>
              <w:rPr>
                <w:rFonts w:ascii="仿宋_GB2312" w:hAnsi="仿宋_GB2312" w:cs="仿宋_GB2312" w:eastAsia="仿宋_GB2312"/>
                <w:sz w:val="21"/>
                <w:color w:val="000000"/>
              </w:rPr>
              <w:t>经审核验收完成后，乙方按照审定金额统一开具发票，采购人通过转账方式在达到付款条件起</w:t>
            </w:r>
            <w:r>
              <w:rPr>
                <w:rFonts w:ascii="仿宋_GB2312" w:hAnsi="仿宋_GB2312" w:cs="仿宋_GB2312" w:eastAsia="仿宋_GB2312"/>
                <w:sz w:val="21"/>
                <w:color w:val="000000"/>
              </w:rPr>
              <w:t>30日内，支付供应商票面金额的100%</w:t>
            </w:r>
            <w:r>
              <w:rPr>
                <w:rFonts w:ascii="仿宋_GB2312" w:hAnsi="仿宋_GB2312" w:cs="仿宋_GB2312" w:eastAsia="仿宋_GB2312"/>
                <w:sz w:val="21"/>
                <w:color w:val="000000"/>
              </w:rPr>
              <w:t>服务费。支付方式：银行转账。乙方提供国家正规发票。</w:t>
            </w:r>
            <w:r>
              <w:rPr>
                <w:rFonts w:ascii="仿宋_GB2312" w:hAnsi="仿宋_GB2312" w:cs="仿宋_GB2312" w:eastAsia="仿宋_GB2312"/>
                <w:sz w:val="21"/>
                <w:color w:val="000000"/>
              </w:rPr>
              <w:t xml:space="preserve">                        </w:t>
            </w: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配备驾驶员需要三证齐全，驾龄在6年以上，个人综合素质较高。最近3年内任意记分周期未记满12分，无致人伤亡的责任事故。2.驾驶员出车时应着装统一，保持良好精神状态，遵守采购人规章制度，礼貌对待乘客，保证按时到位，车容整洁，安全平稳行车，服从采购人的合理安排，并在主要行车线路上按采购人所要求上下车地点接送乘客（违反交通规则的地点除外），如有违反，采购人有权要求更换驾驶员。 3.驾驶员的条件：初中以上学历，具有较好的读听写语言能力，身体健康，无传染病，并在上岗前提供上岗员工的健康证。熟悉西安市道路，遵纪守法、品行良好。 4.供应商应加强管理，定期进行驾驶员思想品德教育和业务技能培训及考核。上岗驾驶员必须经过专业培训，培训的内容包括礼仪、仪容仪表、沟通技巧、主动服务意识及责任意识。 5.驾驶人员须严格遵守交通法则及操作规范，不得带病开车、赌气开车及疲劳驾驶、酒后驾车；因违反交通法规而导致的一切后果均由成交供应商自行负责，如造成采购人任何损失，供应商须赔偿采购人全部损失。</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每周工作时间：周一至周五(不含甲方寒暑假及各种法定节假日)，班车每个工作日接送职工上下班（早接晚送），沿固定路线按时接送职工上下班，在每个站点严格按照路线站点时刻表规定时间进行停靠。2、班车运行路线：东线停靠班车4辆/每天往返一趟，区间：含光校区到未央校区。西线停靠班车1辆/每天往返一趟，区间：含光校区到未央校区。发车时间：上午6:50时含光校区发车，下 午17:55时未央校区发车返回含光校区。3、如甲方要求乙方在公休日（周六日）、寒暑假、法定节假日提供上下班车辆服务，则需要提前一个工作日告知乙方，乙方必须保证甲方用车。注：各路线详细班车停靠点及时刻表详见校官网。 4、通勤车5辆/每天往返一趟，区间：含光校区、高新校区往返未央校区。其中东线4辆（沿途停靠），西线1辆（沿途停靠）。注：具体发车时间数量根据实际情况做相应调整。 5、通勤车为（含驾驶员）48座（含）以上大型客车（燃油车或新能源车），必须提供交通管理部门颁发的《中华人民共和国道路运输经营许可证》。车辆手续齐全，交强、商业险齐备，其中乘客座位险需100（含）万元以上。保证提供的车辆品牌为国内知名品牌，证照齐全，车况良好，空调暖风良好，5年内车辆，行驶公里数在10万公里以内，并保证车辆不是拼装车、下线车、报废车和个人机动车。5、因校方工作需要，包括（夜间、周末、假期）以及其他时段安排的任务用车，中标方须无条件保障，不得推脱，用车费用参照通勤车优惠价格，周末假期车辆因非执行学校任务的其他出行活动，不得使用学校标识，一切行为与学校无关，责任自负。6、如5辆车不能满足通勤及教学使用，如需增加车辆，中标方仍按合同价满足学校用车，如车辆有剩余，学校可以减少使用车辆。7、学校除了定期向服务方支付租赁费用外，不再负担任何其他费用。针对本项目服务方需要提供消防人员疏散等相关需求的演练、服务期间的安全（人员、财、物）保障措施预案。</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按月据实结算（如遇节假日寒暑假顺延），采购方根据上月实际出车趟数结算费用，经审核验收完成后，乙方按照审定金额统一开具发票，采购人通过转账方式在达到付款条件起30日内，支付供应商票面金额的100%服务费。支付方式：银行转账。乙方提供国家正规发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一年。本项目合同期满前，采购人将对成交供应商当年的服务质量、工作内容等进行考核，根据服务考评情况及服务满意程度，采购人有权决定是否续签合同，累计合同履行期限不超过两年。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监管考核工作由后勤保障主管部门对供应商工作进行考核。不定期开展师生满意度调查。 考核验收结果分为四个层次： 优秀：90 分以上（含）； 良好：90 分以下,80 分以上（含） 合格：80 分以下，70 分以上（含）； 不合格：70 分以下（不含）。 注：考核两次不合格，不予续签合同。 评分分类： 1、车辆设施设备满意度2、车内卫生环境满意度3、安全驾驶行为满意度4、文明用语及行为满意度5、服务满意度6、投诉问题解决满意度等。具体详见竞争性磋商文件。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按月据实结算（如遇节假日寒暑假顺延），采购方根据上月实际出车趟数结算费用，经审核验收完成后，乙方按照审定金额统一开具发票，采购人通过转账方式在达到付款条件起30日内，支付供应商票面金额的100%服务费。支付方式：银行转账。乙方提供国家正规发票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在受委托服务期内，不得将该服务项目转让第三方经营，如有违约，甲方有权单方解除合同2、因乙方人员的行为违法给甲方或第三人造成损失的，乙方要承担相应的连带赔偿责任。3、在合同期内，由于乙方的原因造成甲方不能正常使用，乙方应承担给甲方造成的全部损失，甲方有权终止租赁协议；因乙方原因未按约定时间发车，每次甲方将从当月租赁费用中扣除2000元/次，但因暴风雨雪天气、交通管制等不可抗力因素造成的车辆不准点，不执行违约责任。4、甲、乙双方其中一方单方面要求解除合同的, 应提前一个月以书面形式通知另一方，并向对方支付未执行金额的20%作为违约金。 5、甲乙双方任何一方由于不可抗力的原因，不能或不能完全履行合同时，应在不可抗力原因发生后10日内向对方书面通报不能履行或不能完全履行的理由，并出示有关主管机关的文字证明后，允许延期履行合同或不履行合同，并根据具体情况，可允许部分或全部免于承担违约责任。任何一方在违约后发生的不可抗力不能作为免责的抗辩。具体详见竞争性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本项目专门面向中小企业采购，供应商须提供中小企业声明函。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法定代表人证明及法定代表人授权委托书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非法定代表人参加投标的，须提供法定代表人授权委托书及被授权人身份证原件；法定代表人参加投标时,只须提供法定代表人证明书；</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2023年度或2024年度经审计的财务报告（注册会计师统一监管平台申请赋码可查询）或磋商前六个月内其基本账户银行出具的资信证明（附开户许可证或基本账户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具有依法缴纳税收的良好记录，提供2024年3月至今已缴纳的至少一个月的纳税证明或完税证明（至少包含增值税或企业所得税）；依法免税的单位应提供相关证明材料；（以税款所属日期为准）</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具有依法缴纳社会保障资金的良好记录，提供2024年3月至今已缴纳的至少一个月的社保缴费凭据或社保机构开具的社会保险参保缴费情况证明（依法不需要缴纳社会保障资金的供应商应提供相关证明）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供应商提供交通管理部门核发有效的《道路运输经营许可证》</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供应商资质证明资料.docx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本项目不允许联合体磋商</w:t>
            </w:r>
          </w:p>
        </w:tc>
        <w:tc>
          <w:tcPr>
            <w:tcW w:type="dxa" w:w="3322"/>
          </w:tcPr>
          <w:p>
            <w:pPr>
              <w:pStyle w:val="null3"/>
            </w:pPr>
            <w:r>
              <w:rPr>
                <w:rFonts w:ascii="仿宋_GB2312" w:hAnsi="仿宋_GB2312" w:cs="仿宋_GB2312" w:eastAsia="仿宋_GB2312"/>
              </w:rPr>
              <w:t>本项目不允许联合体磋商</w:t>
            </w:r>
          </w:p>
        </w:tc>
        <w:tc>
          <w:tcPr>
            <w:tcW w:type="dxa" w:w="1661"/>
          </w:tcPr>
          <w:p>
            <w:pPr>
              <w:pStyle w:val="null3"/>
            </w:pPr>
            <w:r>
              <w:rPr>
                <w:rFonts w:ascii="仿宋_GB2312" w:hAnsi="仿宋_GB2312" w:cs="仿宋_GB2312" w:eastAsia="仿宋_GB2312"/>
              </w:rPr>
              <w:t>供应商资质证明资料.docx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供应商名称是否与营业执照、资质证书一致</w:t>
            </w:r>
          </w:p>
        </w:tc>
        <w:tc>
          <w:tcPr>
            <w:tcW w:type="dxa" w:w="1661"/>
          </w:tcPr>
          <w:p>
            <w:pPr>
              <w:pStyle w:val="null3"/>
            </w:pPr>
            <w:r>
              <w:rPr>
                <w:rFonts w:ascii="仿宋_GB2312" w:hAnsi="仿宋_GB2312" w:cs="仿宋_GB2312" w:eastAsia="仿宋_GB2312"/>
              </w:rPr>
              <w:t>供应商资质证明资料.docx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磋商响应文件签字、盖章是否满足招标文件要求</w:t>
            </w:r>
          </w:p>
        </w:tc>
        <w:tc>
          <w:tcPr>
            <w:tcW w:type="dxa" w:w="1661"/>
          </w:tcPr>
          <w:p>
            <w:pPr>
              <w:pStyle w:val="null3"/>
            </w:pPr>
            <w:r>
              <w:rPr>
                <w:rFonts w:ascii="仿宋_GB2312" w:hAnsi="仿宋_GB2312" w:cs="仿宋_GB2312" w:eastAsia="仿宋_GB2312"/>
              </w:rPr>
              <w:t>分项报价表.docx 供应商资质证明资料.docx 中小企业声明函 残疾人福利性单位声明函 供应商业绩一览表.docx 供应商认为有必要说明的其他问题.docx 标的清单 商务和技术响应偏离表.docx 报价表 响应函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响应有效期是否满足磋商文件要求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采购需求响应齐全、无遗漏</w:t>
            </w:r>
          </w:p>
        </w:tc>
        <w:tc>
          <w:tcPr>
            <w:tcW w:type="dxa" w:w="1661"/>
          </w:tcPr>
          <w:p>
            <w:pPr>
              <w:pStyle w:val="null3"/>
            </w:pPr>
            <w:r>
              <w:rPr>
                <w:rFonts w:ascii="仿宋_GB2312" w:hAnsi="仿宋_GB2312" w:cs="仿宋_GB2312" w:eastAsia="仿宋_GB2312"/>
              </w:rPr>
              <w:t>分项报价表.docx 供应商资质证明资料.docx 中小企业声明函 商务和技术响应偏离表.docx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是否符合法律法规和磋商文件规定的其他实质性要求</w:t>
            </w:r>
          </w:p>
        </w:tc>
        <w:tc>
          <w:tcPr>
            <w:tcW w:type="dxa" w:w="1661"/>
          </w:tcPr>
          <w:p>
            <w:pPr>
              <w:pStyle w:val="null3"/>
            </w:pPr>
            <w:r>
              <w:rPr>
                <w:rFonts w:ascii="仿宋_GB2312" w:hAnsi="仿宋_GB2312" w:cs="仿宋_GB2312" w:eastAsia="仿宋_GB2312"/>
              </w:rPr>
              <w:t>响应文件封面 分项报价表.docx 供应商资质证明资料.docx 中小企业声明函 标的清单 商务和技术响应偏离表.docx 报价表 响应函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依照采购需求，结合项目实际情况，针对采购人要求的服务主要内容、服务工作要求、质量标准，制定切实可行的整体服务方案，开展专业化服务。（包括服务方案、车辆调配方案、服务细则、服务流程、考核方案、内部管理制度）进行综合评分。 完全满足采购需求并符合本项目实施特点的得9分；以上方面中每缺少一方面内容扣1.5分；每有一处内容与实际需求不符或不满足要求或与本项目需求不切合或直接套用其他项目内容的扣0.5分，扣完为止。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拟派车辆数量满足采购需求，符合国家有关规定，车辆进行了机动车安全技术性能检测，车况良好，提供拟投入车辆型号、服务车辆的车辆产权证明、行驶证，使用年限、里程、车内监控、GPS配置、冷暖空调、后台管理系统、提供针对本项目所投入的车辆情况参数一览表、车辆的最新彩色照片及相关证明材料。 供应商提供的车辆情况资料齐全，车辆手续完善、定位系统配置齐全得6.1-9分； 供应商提供的车辆情况证明资料基本齐全，无漏项，车辆手续完善得3.1-6分； 供应商提供的车辆情况证明资料不太完整得0-3分； 未提供不得分。 备注：以上要求需提供车辆近期彩色照片、车辆参数配置等证明材料，且必须为供应商自有车辆(复印件或扫描件并加盖公章)。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车辆情况.docx</w:t>
            </w:r>
          </w:p>
        </w:tc>
      </w:tr>
      <w:tr>
        <w:tc>
          <w:tcPr>
            <w:tcW w:type="dxa" w:w="831"/>
            <w:vMerge/>
          </w:tcPr>
          <w:p/>
        </w:tc>
        <w:tc>
          <w:tcPr>
            <w:tcW w:type="dxa" w:w="1661"/>
          </w:tcPr>
          <w:p>
            <w:pPr>
              <w:pStyle w:val="null3"/>
            </w:pPr>
            <w:r>
              <w:rPr>
                <w:rFonts w:ascii="仿宋_GB2312" w:hAnsi="仿宋_GB2312" w:cs="仿宋_GB2312" w:eastAsia="仿宋_GB2312"/>
              </w:rPr>
              <w:t>车辆配套设施</w:t>
            </w:r>
          </w:p>
        </w:tc>
        <w:tc>
          <w:tcPr>
            <w:tcW w:type="dxa" w:w="2492"/>
          </w:tcPr>
          <w:p>
            <w:pPr>
              <w:pStyle w:val="null3"/>
            </w:pPr>
            <w:r>
              <w:rPr>
                <w:rFonts w:ascii="仿宋_GB2312" w:hAnsi="仿宋_GB2312" w:cs="仿宋_GB2312" w:eastAsia="仿宋_GB2312"/>
              </w:rPr>
              <w:t>依据供应商所提供的车辆具备防火设施（配备灭火器及警示性标志牌）、清洁、消毒、车厢内配备医用急救设施小药箱（日常及急救用药）等情况进行评审。 车辆配套设施齐全，证明材料清晰完整得2.1-3分； 车辆配套设施基本齐全，证明材料欠缺得0-2分；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车辆配套设施.docx</w:t>
            </w:r>
          </w:p>
        </w:tc>
      </w:tr>
      <w:tr>
        <w:tc>
          <w:tcPr>
            <w:tcW w:type="dxa" w:w="831"/>
            <w:vMerge/>
          </w:tcPr>
          <w:p/>
        </w:tc>
        <w:tc>
          <w:tcPr>
            <w:tcW w:type="dxa" w:w="1661"/>
          </w:tcPr>
          <w:p>
            <w:pPr>
              <w:pStyle w:val="null3"/>
            </w:pPr>
            <w:r>
              <w:rPr>
                <w:rFonts w:ascii="仿宋_GB2312" w:hAnsi="仿宋_GB2312" w:cs="仿宋_GB2312" w:eastAsia="仿宋_GB2312"/>
              </w:rPr>
              <w:t>车辆保险</w:t>
            </w:r>
          </w:p>
        </w:tc>
        <w:tc>
          <w:tcPr>
            <w:tcW w:type="dxa" w:w="2492"/>
          </w:tcPr>
          <w:p>
            <w:pPr>
              <w:pStyle w:val="null3"/>
            </w:pPr>
            <w:r>
              <w:rPr>
                <w:rFonts w:ascii="仿宋_GB2312" w:hAnsi="仿宋_GB2312" w:cs="仿宋_GB2312" w:eastAsia="仿宋_GB2312"/>
              </w:rPr>
              <w:t>车辆保险齐全，包括交通强制险、车损险、承运人责任险、商业第三者责任险和乘客责任保险（乘客座位险不低于100万（含））。根据供应商所提供的车辆保险缴纳情况进行评审，险种齐全，完全满足本项目要求，能够确保项目执行的安全，提供相应证明材料清晰完整得5分，高于采购要求得6分；未提供或缺漏项不得分。(需提供车辆商业险保单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车辆保险.docx</w:t>
            </w:r>
          </w:p>
        </w:tc>
      </w:tr>
      <w:tr>
        <w:tc>
          <w:tcPr>
            <w:tcW w:type="dxa" w:w="831"/>
            <w:vMerge/>
          </w:tcPr>
          <w:p/>
        </w:tc>
        <w:tc>
          <w:tcPr>
            <w:tcW w:type="dxa" w:w="1661"/>
          </w:tcPr>
          <w:p>
            <w:pPr>
              <w:pStyle w:val="null3"/>
            </w:pPr>
            <w:r>
              <w:rPr>
                <w:rFonts w:ascii="仿宋_GB2312" w:hAnsi="仿宋_GB2312" w:cs="仿宋_GB2312" w:eastAsia="仿宋_GB2312"/>
              </w:rPr>
              <w:t>三检制度</w:t>
            </w:r>
          </w:p>
        </w:tc>
        <w:tc>
          <w:tcPr>
            <w:tcW w:type="dxa" w:w="2492"/>
          </w:tcPr>
          <w:p>
            <w:pPr>
              <w:pStyle w:val="null3"/>
            </w:pPr>
            <w:r>
              <w:rPr>
                <w:rFonts w:ascii="仿宋_GB2312" w:hAnsi="仿宋_GB2312" w:cs="仿宋_GB2312" w:eastAsia="仿宋_GB2312"/>
              </w:rPr>
              <w:t>供应商认真执行“三检”（出车前、行驶中、收车后）制度，做好车辆例行保养工作，定期进行车辆检测，遵守交通法规，确保安全运行，在接送乘客过程中不超速、不搭乘其他人员，司乘人员确保乘客上下车及车内安全。 根据供应商所提供的三检制度进行评审，制度详细，可行性强得3.1-5分，证明材料模糊，不齐全得0-3分，未提供不得分。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三检制度.docx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1.项目负责人：供应商提供针对本项目的项目负责人用于对接日常出车调配人员。出具项目负责人简历及近一年任意三个月在本单位的社保缴纳证明或劳动合同。 2.驾驶员：拟派不少于5名；具有A1及以上驾照，医疗机构出具的有效期内的驾驶员健康证明（健康证）；具有6年以上大型客车驾驶经验；近3年内任意记分周期未记满12分且无重大致人伤亡的责任事故承诺书。 根据供应商提供的人员配备情况进行评审。 人员配置齐全，履历贴合项目需求，经验丰富、证件齐全，完全满足采购人需求得7.1-10分； 人员配置齐全，证件较齐全，驾驶技能基本满足采购人需求得3.1-7分； 人员配置齐全，证件欠缺，无法保障项目顺利实施得0-3分；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服务管理制度</w:t>
            </w:r>
          </w:p>
        </w:tc>
        <w:tc>
          <w:tcPr>
            <w:tcW w:type="dxa" w:w="2492"/>
          </w:tcPr>
          <w:p>
            <w:pPr>
              <w:pStyle w:val="null3"/>
            </w:pPr>
            <w:r>
              <w:rPr>
                <w:rFonts w:ascii="仿宋_GB2312" w:hAnsi="仿宋_GB2312" w:cs="仿宋_GB2312" w:eastAsia="仿宋_GB2312"/>
              </w:rPr>
              <w:t>依据供应商针对本项目制定的服务管理制度，包括对驾驶员具有详细的安全教育制度、行车礼仪培训制度、开展安全教育进行安全检查与隐患预防、安全驾驶行为培训、定期进行驾驶员思想品德教育和业务技能培训及考核等确保项目服务质量。进行横向对比综合打分。 管理制度贴合采购需求并符合本项目实施特点的得10分；以上方面中每缺少一方面内容扣2分；每有一处内容与实际需求不符或不满足要求或与本项目需求不切合或直接套用其他项目内容的扣1分，扣完为止。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服务管理制度.docx</w:t>
            </w:r>
          </w:p>
        </w:tc>
      </w:tr>
      <w:tr>
        <w:tc>
          <w:tcPr>
            <w:tcW w:type="dxa" w:w="831"/>
            <w:vMerge/>
          </w:tcPr>
          <w:p/>
        </w:tc>
        <w:tc>
          <w:tcPr>
            <w:tcW w:type="dxa" w:w="1661"/>
          </w:tcPr>
          <w:p>
            <w:pPr>
              <w:pStyle w:val="null3"/>
            </w:pPr>
            <w:r>
              <w:rPr>
                <w:rFonts w:ascii="仿宋_GB2312" w:hAnsi="仿宋_GB2312" w:cs="仿宋_GB2312" w:eastAsia="仿宋_GB2312"/>
              </w:rPr>
              <w:t>应急预案及解决办法</w:t>
            </w:r>
          </w:p>
        </w:tc>
        <w:tc>
          <w:tcPr>
            <w:tcW w:type="dxa" w:w="2492"/>
          </w:tcPr>
          <w:p>
            <w:pPr>
              <w:pStyle w:val="null3"/>
            </w:pPr>
            <w:r>
              <w:rPr>
                <w:rFonts w:ascii="仿宋_GB2312" w:hAnsi="仿宋_GB2312" w:cs="仿宋_GB2312" w:eastAsia="仿宋_GB2312"/>
              </w:rPr>
              <w:t>供应商针对恶劣天气、突发事件（包括但不限于堵车、交通事故、驾乘人员出现疾病特殊情况等）制定相应的应急预案以及解决办法；因校方工作需要，包括（夜间、周末、假期）以及其他时段安排的任务用车制定相应的应急预案以及解决办法；如5辆车不能满足通勤及教学使用，如需增加车辆保障学校通勤需要的应急预案及解决办法。进行横向对比综合打分。 应急预案及解决办法贴合采购需求并符合本项目实施特点的得9分；以上方面中每缺少一方面内容扣3分；每有一处内容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应急预案及解决办法.docx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针对本项目服务要求需要提供保障措施预案（包括但不限于消防人员疏散等相关需求的演练、服务期间的安全（人员、财、物）安全保障措施、提供针对本项目服务期间安全责任划分标准、提供针对本项目服务期间安全事故的应对措施、服从学校各项管理制度标准及信息化管理进行横向对比综合打分。服务质量保障措施符合本项目实施特点的得4分；以上内容中每缺少一项内容扣 1分；每有一处内容与实际需求不符或不满足要求或与本项目需求不切合或直接套用其他项目内容的扣0.5分，扣完为止。未提供不得分 。</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1、供应商提供近三年(2022年1月1日起至今)类似项目业绩合同，每提供1个得1分，最高得5分。 备注：以合同签订日期为准，须提供完整清晰的合同复印件并加盖公章。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1、经初审合格的供应商，其最后提交的磋商响应报价为有效响应报价。 2、评审基准价：即满足磋商文件要求且价格最低的响应报价为评审基准价。 3、其他供应商的价格分统一按照下列公式计算。 4、响应报价得分=(评审基准价／响应报价)×30×100%。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详见附件：车辆情况.docx</w:t>
      </w:r>
    </w:p>
    <w:p>
      <w:pPr>
        <w:pStyle w:val="null3"/>
        <w:ind w:firstLine="960"/>
      </w:pPr>
      <w:r>
        <w:rPr>
          <w:rFonts w:ascii="仿宋_GB2312" w:hAnsi="仿宋_GB2312" w:cs="仿宋_GB2312" w:eastAsia="仿宋_GB2312"/>
        </w:rPr>
        <w:t>详见附件：车辆配套设施.docx</w:t>
      </w:r>
    </w:p>
    <w:p>
      <w:pPr>
        <w:pStyle w:val="null3"/>
        <w:ind w:firstLine="960"/>
      </w:pPr>
      <w:r>
        <w:rPr>
          <w:rFonts w:ascii="仿宋_GB2312" w:hAnsi="仿宋_GB2312" w:cs="仿宋_GB2312" w:eastAsia="仿宋_GB2312"/>
        </w:rPr>
        <w:t>详见附件：车辆保险.docx</w:t>
      </w:r>
    </w:p>
    <w:p>
      <w:pPr>
        <w:pStyle w:val="null3"/>
        <w:ind w:firstLine="960"/>
      </w:pPr>
      <w:r>
        <w:rPr>
          <w:rFonts w:ascii="仿宋_GB2312" w:hAnsi="仿宋_GB2312" w:cs="仿宋_GB2312" w:eastAsia="仿宋_GB2312"/>
        </w:rPr>
        <w:t>详见附件：三检制度.docx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详见附件：服务管理制度.docx</w:t>
      </w:r>
    </w:p>
    <w:p>
      <w:pPr>
        <w:pStyle w:val="null3"/>
        <w:ind w:firstLine="960"/>
      </w:pPr>
      <w:r>
        <w:rPr>
          <w:rFonts w:ascii="仿宋_GB2312" w:hAnsi="仿宋_GB2312" w:cs="仿宋_GB2312" w:eastAsia="仿宋_GB2312"/>
        </w:rPr>
        <w:t>详见附件：应急预案及解决办法.docx</w:t>
      </w:r>
    </w:p>
    <w:p>
      <w:pPr>
        <w:pStyle w:val="null3"/>
        <w:ind w:firstLine="960"/>
      </w:pPr>
      <w:r>
        <w:rPr>
          <w:rFonts w:ascii="仿宋_GB2312" w:hAnsi="仿宋_GB2312" w:cs="仿宋_GB2312" w:eastAsia="仿宋_GB2312"/>
        </w:rPr>
        <w:t>详见附件：服务质量保证措施.docx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