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9C30">
      <w:pPr>
        <w:pageBreakBefore w:val="0"/>
        <w:widowControl w:val="0"/>
        <w:kinsoku/>
        <w:wordWrap/>
        <w:overflowPunct/>
        <w:topLinePunct w:val="0"/>
        <w:autoSpaceDE/>
        <w:autoSpaceDN/>
        <w:bidi w:val="0"/>
        <w:adjustRightInd/>
        <w:snapToGrid/>
        <w:spacing w:line="360" w:lineRule="auto"/>
        <w:jc w:val="center"/>
        <w:textAlignment w:val="auto"/>
        <w:rPr>
          <w:rFonts w:hint="default" w:ascii="Arial" w:hAnsi="Arial" w:eastAsia="宋体" w:cstheme="minorBidi"/>
          <w:b/>
          <w:bCs/>
          <w:kern w:val="44"/>
          <w:sz w:val="44"/>
          <w:szCs w:val="44"/>
          <w:lang w:val="en-US" w:eastAsia="zh-CN" w:bidi="ar-SA"/>
        </w:rPr>
      </w:pPr>
      <w:r>
        <w:rPr>
          <w:rFonts w:hint="eastAsia" w:ascii="Arial" w:hAnsi="Arial" w:eastAsia="宋体" w:cstheme="minorBidi"/>
          <w:b/>
          <w:bCs/>
          <w:kern w:val="44"/>
          <w:sz w:val="44"/>
          <w:szCs w:val="44"/>
          <w:lang w:val="en-US" w:eastAsia="zh-CN" w:bidi="ar-SA"/>
        </w:rPr>
        <w:t>陕西艺术幼儿园XXXXXXX项目采购合同</w:t>
      </w:r>
    </w:p>
    <w:p w14:paraId="4522E304">
      <w:pPr>
        <w:wordWrap w:val="0"/>
        <w:ind w:firstLine="420"/>
        <w:jc w:val="right"/>
        <w:rPr>
          <w:rFonts w:hint="default" w:ascii="宋体" w:hAnsi="宋体" w:eastAsia="宋体"/>
          <w:u w:val="single"/>
          <w:lang w:val="en-US" w:eastAsia="zh-CN"/>
        </w:rPr>
      </w:pPr>
      <w:r>
        <w:rPr>
          <w:rFonts w:hint="eastAsia"/>
          <w:lang w:val="en-US" w:eastAsia="zh-CN"/>
        </w:rPr>
        <w:t>合同</w:t>
      </w:r>
      <w:r>
        <w:rPr>
          <w:rFonts w:hint="eastAsia" w:ascii="宋体" w:hAnsi="宋体"/>
        </w:rPr>
        <w:t>编号：</w:t>
      </w:r>
      <w:r>
        <w:rPr>
          <w:rFonts w:hint="eastAsia" w:ascii="宋体" w:hAnsi="宋体"/>
          <w:lang w:val="en-US" w:eastAsia="zh-CN"/>
        </w:rPr>
        <w:t xml:space="preserve">      </w:t>
      </w:r>
    </w:p>
    <w:tbl>
      <w:tblPr>
        <w:tblStyle w:val="14"/>
        <w:tblW w:w="5000" w:type="pct"/>
        <w:tblInd w:w="0" w:type="dxa"/>
        <w:tblLayout w:type="autofit"/>
        <w:tblCellMar>
          <w:top w:w="0" w:type="dxa"/>
          <w:left w:w="108" w:type="dxa"/>
          <w:bottom w:w="0" w:type="dxa"/>
          <w:right w:w="108" w:type="dxa"/>
        </w:tblCellMar>
      </w:tblPr>
      <w:tblGrid>
        <w:gridCol w:w="4981"/>
        <w:gridCol w:w="4981"/>
      </w:tblGrid>
      <w:tr w14:paraId="419D355E">
        <w:tblPrEx>
          <w:tblCellMar>
            <w:top w:w="0" w:type="dxa"/>
            <w:left w:w="108" w:type="dxa"/>
            <w:bottom w:w="0" w:type="dxa"/>
            <w:right w:w="108" w:type="dxa"/>
          </w:tblCellMar>
        </w:tblPrEx>
        <w:tc>
          <w:tcPr>
            <w:tcW w:w="2500" w:type="pct"/>
          </w:tcPr>
          <w:p w14:paraId="666BE33F">
            <w:pPr>
              <w:rPr>
                <w:rFonts w:hint="eastAsia" w:ascii="宋体" w:hAnsi="宋体" w:eastAsia="宋体" w:cs="微软雅黑"/>
                <w:b/>
                <w:sz w:val="24"/>
                <w:szCs w:val="24"/>
                <w:lang w:val="en-US" w:eastAsia="zh-CN"/>
              </w:rPr>
            </w:pPr>
            <w:r>
              <w:rPr>
                <w:rFonts w:ascii="宋体" w:hAnsi="宋体" w:cs="微软雅黑"/>
                <w:b/>
                <w:sz w:val="24"/>
                <w:szCs w:val="24"/>
              </w:rPr>
              <w:t>甲方：</w:t>
            </w:r>
            <w:r>
              <w:rPr>
                <w:rFonts w:hint="eastAsia" w:ascii="宋体" w:hAnsi="宋体" w:cs="微软雅黑"/>
                <w:b/>
                <w:sz w:val="24"/>
                <w:szCs w:val="24"/>
                <w:lang w:val="en-US" w:eastAsia="zh-CN"/>
              </w:rPr>
              <w:t xml:space="preserve"> </w:t>
            </w:r>
          </w:p>
          <w:p w14:paraId="53F9DD13">
            <w:pPr>
              <w:rPr>
                <w:rFonts w:ascii="宋体" w:hAnsi="宋体" w:cs="微软雅黑"/>
                <w:b/>
                <w:sz w:val="24"/>
                <w:szCs w:val="24"/>
              </w:rPr>
            </w:pPr>
            <w:r>
              <w:rPr>
                <w:rFonts w:ascii="宋体" w:hAnsi="宋体" w:cs="微软雅黑"/>
                <w:b/>
                <w:sz w:val="24"/>
                <w:szCs w:val="24"/>
              </w:rPr>
              <w:t>地址：</w:t>
            </w:r>
          </w:p>
          <w:p w14:paraId="3183AE3E">
            <w:pPr>
              <w:rPr>
                <w:rFonts w:ascii="宋体" w:hAnsi="宋体" w:cs="微软雅黑"/>
                <w:b/>
                <w:sz w:val="24"/>
                <w:szCs w:val="24"/>
              </w:rPr>
            </w:pPr>
            <w:r>
              <w:rPr>
                <w:rFonts w:ascii="宋体" w:hAnsi="宋体" w:cs="微软雅黑"/>
                <w:b/>
                <w:sz w:val="24"/>
                <w:szCs w:val="24"/>
              </w:rPr>
              <w:t>法定代表人：</w:t>
            </w:r>
          </w:p>
          <w:p w14:paraId="23C05F3C">
            <w:pPr>
              <w:rPr>
                <w:rFonts w:ascii="宋体" w:hAnsi="宋体" w:cs="微软雅黑"/>
                <w:b/>
                <w:sz w:val="24"/>
                <w:szCs w:val="24"/>
              </w:rPr>
            </w:pPr>
            <w:r>
              <w:rPr>
                <w:rFonts w:ascii="宋体" w:hAnsi="宋体" w:cs="微软雅黑"/>
                <w:b/>
                <w:sz w:val="24"/>
                <w:szCs w:val="24"/>
              </w:rPr>
              <w:t>联系人</w:t>
            </w:r>
            <w:r>
              <w:rPr>
                <w:rFonts w:hint="eastAsia" w:ascii="宋体" w:hAnsi="宋体" w:cs="微软雅黑"/>
                <w:b/>
                <w:sz w:val="24"/>
                <w:szCs w:val="24"/>
              </w:rPr>
              <w:t>/联系</w:t>
            </w:r>
            <w:r>
              <w:rPr>
                <w:rFonts w:ascii="宋体" w:hAnsi="宋体" w:cs="微软雅黑"/>
                <w:b/>
                <w:sz w:val="24"/>
                <w:szCs w:val="24"/>
              </w:rPr>
              <w:t>电话：</w:t>
            </w:r>
          </w:p>
        </w:tc>
        <w:tc>
          <w:tcPr>
            <w:tcW w:w="2500" w:type="pct"/>
          </w:tcPr>
          <w:p w14:paraId="0C7A8094">
            <w:pPr>
              <w:rPr>
                <w:rFonts w:ascii="宋体" w:hAnsi="宋体" w:cs="微软雅黑"/>
                <w:b/>
                <w:sz w:val="24"/>
                <w:szCs w:val="24"/>
              </w:rPr>
            </w:pPr>
            <w:r>
              <w:rPr>
                <w:rFonts w:ascii="宋体" w:hAnsi="宋体" w:cs="微软雅黑"/>
                <w:b/>
                <w:sz w:val="24"/>
                <w:szCs w:val="24"/>
              </w:rPr>
              <w:t>乙方：</w:t>
            </w:r>
          </w:p>
          <w:p w14:paraId="1B191F1F">
            <w:pPr>
              <w:rPr>
                <w:rFonts w:ascii="宋体" w:hAnsi="宋体" w:cs="微软雅黑"/>
                <w:b/>
                <w:sz w:val="24"/>
                <w:szCs w:val="24"/>
              </w:rPr>
            </w:pPr>
            <w:r>
              <w:rPr>
                <w:rFonts w:ascii="宋体" w:hAnsi="宋体" w:cs="微软雅黑"/>
                <w:b/>
                <w:sz w:val="24"/>
                <w:szCs w:val="24"/>
              </w:rPr>
              <w:t>地址：</w:t>
            </w:r>
          </w:p>
          <w:p w14:paraId="15B02E9C">
            <w:pPr>
              <w:rPr>
                <w:rFonts w:ascii="宋体" w:hAnsi="宋体" w:cs="微软雅黑"/>
                <w:b/>
                <w:sz w:val="24"/>
                <w:szCs w:val="24"/>
              </w:rPr>
            </w:pPr>
            <w:r>
              <w:rPr>
                <w:rFonts w:ascii="宋体" w:hAnsi="宋体" w:cs="微软雅黑"/>
                <w:b/>
                <w:sz w:val="24"/>
                <w:szCs w:val="24"/>
              </w:rPr>
              <w:t>法定代表人：</w:t>
            </w:r>
          </w:p>
          <w:p w14:paraId="22F8E606">
            <w:pPr>
              <w:rPr>
                <w:rFonts w:ascii="宋体" w:hAnsi="宋体" w:cs="微软雅黑"/>
                <w:b/>
                <w:sz w:val="24"/>
                <w:szCs w:val="24"/>
                <w:u w:val="single"/>
              </w:rPr>
            </w:pPr>
            <w:r>
              <w:rPr>
                <w:rFonts w:ascii="宋体" w:hAnsi="宋体" w:cs="微软雅黑"/>
                <w:b/>
                <w:sz w:val="24"/>
                <w:szCs w:val="24"/>
              </w:rPr>
              <w:t>联系人</w:t>
            </w:r>
            <w:r>
              <w:rPr>
                <w:rFonts w:hint="eastAsia" w:ascii="宋体" w:hAnsi="宋体" w:cs="微软雅黑"/>
                <w:b/>
                <w:sz w:val="24"/>
                <w:szCs w:val="24"/>
              </w:rPr>
              <w:t>/联系电话</w:t>
            </w:r>
            <w:r>
              <w:rPr>
                <w:rFonts w:ascii="宋体" w:hAnsi="宋体" w:cs="微软雅黑"/>
                <w:b/>
                <w:sz w:val="24"/>
                <w:szCs w:val="24"/>
              </w:rPr>
              <w:t>：</w:t>
            </w:r>
          </w:p>
        </w:tc>
      </w:tr>
    </w:tbl>
    <w:p w14:paraId="47153209">
      <w:pPr>
        <w:ind w:firstLine="420" w:firstLineChars="200"/>
      </w:pPr>
    </w:p>
    <w:p w14:paraId="1955827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中华人民共和国民法典》《中华人民共和国政府采购法》与项目行业有关的法律法规，以及XXX采购项目的《竞争性磋商文件》，乙方的《响应文件》及《成交通知书》，甲乙双方同意签订本合同。具体情况及要求如下：</w:t>
      </w:r>
      <w:r>
        <w:rPr>
          <w:rFonts w:hint="eastAsia" w:ascii="仿宋" w:hAnsi="仿宋" w:eastAsia="仿宋" w:cs="仿宋"/>
          <w:sz w:val="28"/>
          <w:szCs w:val="28"/>
        </w:rPr>
        <w:tab/>
      </w:r>
    </w:p>
    <w:p w14:paraId="1F45E31E">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Chars="0"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一、标的内容及清单</w:t>
      </w:r>
    </w:p>
    <w:p w14:paraId="61CCE4C4">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XXXXXXXXX</w:t>
      </w:r>
    </w:p>
    <w:p w14:paraId="4F2FEBD0">
      <w:pPr>
        <w:pStyle w:val="2"/>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lang w:val="en-US" w:eastAsia="zh-CN"/>
        </w:rPr>
        <w:t>二、合同价款及支付</w:t>
      </w:r>
    </w:p>
    <w:p w14:paraId="717BCD38">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FF0000"/>
          <w:kern w:val="0"/>
          <w:sz w:val="28"/>
          <w:szCs w:val="28"/>
        </w:rPr>
      </w:pPr>
      <w:r>
        <w:rPr>
          <w:rFonts w:hint="eastAsia" w:ascii="仿宋" w:hAnsi="仿宋" w:eastAsia="仿宋" w:cs="仿宋"/>
          <w:sz w:val="28"/>
          <w:szCs w:val="28"/>
          <w:lang w:val="en-US" w:eastAsia="zh-CN"/>
        </w:rPr>
        <w:t>1、合同价款：人民币（大写）：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（小写）：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。此价</w:t>
      </w:r>
      <w:r>
        <w:rPr>
          <w:rFonts w:hint="eastAsia" w:ascii="仿宋" w:hAnsi="仿宋" w:eastAsia="仿宋" w:cs="仿宋"/>
          <w:b w:val="0"/>
          <w:bCs w:val="0"/>
          <w:color w:val="000000" w:themeColor="text1"/>
          <w:sz w:val="28"/>
          <w:szCs w:val="28"/>
          <w:lang w:val="en-US" w:eastAsia="zh-CN"/>
          <w14:textFill>
            <w14:solidFill>
              <w14:schemeClr w14:val="tx1"/>
            </w14:solidFill>
          </w14:textFill>
        </w:rPr>
        <w:t>款</w:t>
      </w:r>
      <w:r>
        <w:rPr>
          <w:rFonts w:hint="eastAsia" w:ascii="仿宋" w:hAnsi="仿宋" w:eastAsia="仿宋" w:cs="仿宋"/>
          <w:b w:val="0"/>
          <w:bCs w:val="0"/>
          <w:color w:val="000000" w:themeColor="text1"/>
          <w:kern w:val="0"/>
          <w:sz w:val="28"/>
          <w:szCs w:val="28"/>
          <w14:textFill>
            <w14:solidFill>
              <w14:schemeClr w14:val="tx1"/>
            </w14:solidFill>
          </w14:textFill>
        </w:rPr>
        <w:t>包含</w:t>
      </w:r>
      <w:r>
        <w:rPr>
          <w:rFonts w:hint="eastAsia" w:ascii="仿宋" w:hAnsi="仿宋" w:eastAsia="仿宋" w:cs="仿宋"/>
          <w:sz w:val="28"/>
          <w:szCs w:val="28"/>
        </w:rPr>
        <w:t>数据服务平台</w:t>
      </w:r>
      <w:r>
        <w:rPr>
          <w:rFonts w:hint="eastAsia" w:ascii="仿宋" w:hAnsi="仿宋" w:eastAsia="仿宋" w:cs="仿宋"/>
          <w:sz w:val="28"/>
          <w:szCs w:val="28"/>
          <w:lang w:val="en-US" w:eastAsia="zh-CN"/>
        </w:rPr>
        <w:t>建设</w:t>
      </w:r>
      <w:r>
        <w:rPr>
          <w:rFonts w:hint="eastAsia" w:ascii="仿宋" w:hAnsi="仿宋" w:eastAsia="仿宋" w:cs="仿宋"/>
          <w:sz w:val="28"/>
          <w:szCs w:val="28"/>
        </w:rPr>
        <w:t>费和硬件</w:t>
      </w:r>
      <w:r>
        <w:rPr>
          <w:rFonts w:hint="eastAsia" w:ascii="仿宋" w:hAnsi="仿宋" w:eastAsia="仿宋" w:cs="仿宋"/>
          <w:sz w:val="28"/>
          <w:szCs w:val="28"/>
          <w:lang w:val="en-US" w:eastAsia="zh-CN"/>
        </w:rPr>
        <w:t>设施</w:t>
      </w:r>
      <w:r>
        <w:rPr>
          <w:rFonts w:hint="eastAsia" w:ascii="仿宋" w:hAnsi="仿宋" w:eastAsia="仿宋" w:cs="仿宋"/>
          <w:sz w:val="28"/>
          <w:szCs w:val="28"/>
        </w:rPr>
        <w:t>设备费、安装费、调试费、运输费、系统维护费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3年）</w:t>
      </w:r>
      <w:r>
        <w:rPr>
          <w:rFonts w:hint="eastAsia" w:ascii="仿宋" w:hAnsi="仿宋" w:eastAsia="仿宋" w:cs="仿宋"/>
          <w:sz w:val="28"/>
          <w:szCs w:val="28"/>
        </w:rPr>
        <w:t>、税费等</w:t>
      </w:r>
      <w:r>
        <w:rPr>
          <w:rFonts w:hint="eastAsia" w:ascii="仿宋" w:hAnsi="仿宋" w:eastAsia="仿宋" w:cs="仿宋"/>
          <w:sz w:val="28"/>
          <w:szCs w:val="28"/>
          <w:lang w:eastAsia="zh-CN"/>
        </w:rPr>
        <w:t>。</w:t>
      </w:r>
    </w:p>
    <w:p w14:paraId="75477956">
      <w:pPr>
        <w:pStyle w:val="2"/>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lang w:val="en-US"/>
        </w:rPr>
      </w:pPr>
      <w:r>
        <w:rPr>
          <w:rFonts w:hint="eastAsia" w:ascii="仿宋" w:hAnsi="仿宋" w:eastAsia="仿宋" w:cs="仿宋"/>
          <w:sz w:val="28"/>
          <w:szCs w:val="28"/>
          <w:lang w:val="en-US" w:eastAsia="zh-CN"/>
        </w:rPr>
        <w:t>2、支付方式：合同签订后15个工作日内通过银行转账支付本合同价款30%，即：人民币（大写）：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（小写）：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。系统建设完成经双方验收通过后30个工作日内通过银行转账支付本合同价款的70%，即：人民币（大写）：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（小写）：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w:t>
      </w:r>
    </w:p>
    <w:p w14:paraId="6C6BDBBE">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3、付款前，乙方根据付款金额向甲方开具增值税普通发票。</w:t>
      </w:r>
    </w:p>
    <w:p w14:paraId="1EF7A088">
      <w:pPr>
        <w:pStyle w:val="2"/>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三、合同履行期限</w:t>
      </w:r>
    </w:p>
    <w:p w14:paraId="521043C4">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黑体" w:hAnsi="黑体" w:eastAsia="黑体" w:cs="黑体"/>
          <w:sz w:val="28"/>
          <w:szCs w:val="28"/>
          <w:lang w:val="en-US"/>
        </w:rPr>
      </w:pPr>
      <w:r>
        <w:rPr>
          <w:rFonts w:hint="eastAsia" w:ascii="黑体" w:hAnsi="黑体" w:eastAsia="黑体" w:cs="黑体"/>
          <w:sz w:val="28"/>
          <w:szCs w:val="28"/>
          <w:lang w:val="en-US" w:eastAsia="zh-CN"/>
        </w:rPr>
        <w:t>四、双方权利与义务</w:t>
      </w:r>
    </w:p>
    <w:p w14:paraId="4D2813E3">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甲方负责提供本项目建设所需的现场环境条件和第三方软硬件设备资源，并保证所提供的设备及信息满足系统部署的需求，包括但不限于：</w:t>
      </w:r>
    </w:p>
    <w:p w14:paraId="27BCEFEE">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rPr>
        <w:t>项目建设所需的网络环境（包括端口、IP、带宽、其他网络设备及配件、服务器及第三方操作系统等）；</w:t>
      </w:r>
    </w:p>
    <w:p w14:paraId="2CFBDA99">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rPr>
        <w:t>供水</w:t>
      </w:r>
      <w:r>
        <w:rPr>
          <w:rFonts w:hint="eastAsia" w:ascii="仿宋" w:hAnsi="仿宋" w:eastAsia="仿宋" w:cs="仿宋"/>
          <w:sz w:val="28"/>
          <w:szCs w:val="28"/>
          <w:lang w:val="en-US" w:eastAsia="zh-CN"/>
        </w:rPr>
        <w:t>供电</w:t>
      </w:r>
      <w:r>
        <w:rPr>
          <w:rFonts w:hint="eastAsia" w:ascii="仿宋" w:hAnsi="仿宋" w:eastAsia="仿宋" w:cs="仿宋"/>
          <w:sz w:val="28"/>
          <w:szCs w:val="28"/>
        </w:rPr>
        <w:t>设施</w:t>
      </w:r>
      <w:r>
        <w:rPr>
          <w:rFonts w:hint="eastAsia" w:ascii="仿宋" w:hAnsi="仿宋" w:eastAsia="仿宋" w:cs="仿宋"/>
          <w:sz w:val="28"/>
          <w:szCs w:val="28"/>
          <w:lang w:val="en-US" w:eastAsia="zh-CN"/>
        </w:rPr>
        <w:t>及</w:t>
      </w:r>
      <w:r>
        <w:rPr>
          <w:rFonts w:hint="eastAsia" w:ascii="仿宋" w:hAnsi="仿宋" w:eastAsia="仿宋" w:cs="仿宋"/>
          <w:sz w:val="28"/>
          <w:szCs w:val="28"/>
        </w:rPr>
        <w:t>施工运行中的用水</w:t>
      </w:r>
      <w:r>
        <w:rPr>
          <w:rFonts w:hint="eastAsia" w:ascii="仿宋" w:hAnsi="仿宋" w:eastAsia="仿宋" w:cs="仿宋"/>
          <w:sz w:val="28"/>
          <w:szCs w:val="28"/>
          <w:lang w:val="en-US" w:eastAsia="zh-CN"/>
        </w:rPr>
        <w:t>用电</w:t>
      </w:r>
      <w:r>
        <w:rPr>
          <w:rFonts w:hint="eastAsia" w:ascii="仿宋" w:hAnsi="仿宋" w:eastAsia="仿宋" w:cs="仿宋"/>
          <w:sz w:val="28"/>
          <w:szCs w:val="28"/>
        </w:rPr>
        <w:t>相关资源；</w:t>
      </w:r>
    </w:p>
    <w:p w14:paraId="090EAEFC">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rPr>
        <w:t>本项目建设所需设备的存放空间及适配的存储环境；</w:t>
      </w:r>
    </w:p>
    <w:p w14:paraId="3EC773D4">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rPr>
        <w:t>乙方员工及设备出入本项目建设区域或其他为建设本项目所需的许可、相关证明；</w:t>
      </w:r>
    </w:p>
    <w:p w14:paraId="6C16A11B">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乙方负责完成应用、软件系统和智能设备的安装、入网、对接、调试及其他类似部署工作。在项目实施期间，乙方应定期与甲方进行项目沟通，与甲方共同管控项目进度、跟踪项目建设质量和风险，及时处理和解决发现的问题，并提交项目成果。</w:t>
      </w:r>
    </w:p>
    <w:p w14:paraId="008C4BEC">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乙方在完成安装调试后的5个工作日内安排工程师或技术人员为甲方提供免费培训和指导，完成项目相关智能设备及平台软件的操作使用、维护保养</w:t>
      </w:r>
      <w:r>
        <w:rPr>
          <w:rFonts w:hint="eastAsia" w:ascii="仿宋" w:hAnsi="仿宋" w:eastAsia="仿宋" w:cs="仿宋"/>
          <w:sz w:val="28"/>
          <w:szCs w:val="28"/>
          <w:lang w:val="en-US" w:eastAsia="zh-CN"/>
        </w:rPr>
        <w:t>等</w:t>
      </w:r>
      <w:r>
        <w:rPr>
          <w:rFonts w:hint="eastAsia" w:ascii="仿宋" w:hAnsi="仿宋" w:eastAsia="仿宋" w:cs="仿宋"/>
          <w:sz w:val="28"/>
          <w:szCs w:val="28"/>
        </w:rPr>
        <w:t>培训工作。培训内容根据实际交付情况确定，可包括：项目</w:t>
      </w:r>
      <w:r>
        <w:rPr>
          <w:rFonts w:hint="eastAsia" w:ascii="仿宋" w:hAnsi="仿宋" w:eastAsia="仿宋" w:cs="仿宋"/>
          <w:sz w:val="28"/>
          <w:szCs w:val="28"/>
          <w:lang w:eastAsia="zh-CN"/>
        </w:rPr>
        <w:t>背景</w:t>
      </w:r>
      <w:r>
        <w:rPr>
          <w:rFonts w:hint="eastAsia" w:ascii="仿宋" w:hAnsi="仿宋" w:eastAsia="仿宋" w:cs="仿宋"/>
          <w:sz w:val="28"/>
          <w:szCs w:val="28"/>
        </w:rPr>
        <w:t>介绍、设备使用说明、软件系统操作方法培训、注意事项</w:t>
      </w:r>
      <w:r>
        <w:rPr>
          <w:rFonts w:hint="eastAsia" w:ascii="仿宋" w:hAnsi="仿宋" w:eastAsia="仿宋" w:cs="仿宋"/>
          <w:sz w:val="28"/>
          <w:szCs w:val="28"/>
          <w:lang w:val="en-US" w:eastAsia="zh-CN"/>
        </w:rPr>
        <w:t>等</w:t>
      </w:r>
      <w:r>
        <w:rPr>
          <w:rFonts w:hint="eastAsia" w:ascii="仿宋" w:hAnsi="仿宋" w:eastAsia="仿宋" w:cs="仿宋"/>
          <w:sz w:val="28"/>
          <w:szCs w:val="28"/>
        </w:rPr>
        <w:t>。</w:t>
      </w:r>
    </w:p>
    <w:p w14:paraId="6EFFE54A">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甲方应负责安排基础配置数据和操作人员，接受培训并配合录入数据到软件系统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同时</w:t>
      </w:r>
      <w:r>
        <w:rPr>
          <w:rFonts w:hint="eastAsia" w:ascii="仿宋" w:hAnsi="仿宋" w:eastAsia="仿宋" w:cs="仿宋"/>
          <w:sz w:val="28"/>
          <w:szCs w:val="28"/>
        </w:rPr>
        <w:t>提供日常运维技术人员，接受培训负责设备日常巡检、保养与维护。</w:t>
      </w:r>
    </w:p>
    <w:p w14:paraId="0317D675">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授权期限内，乙方将根据实际情况不定期提供授权应用系统及软件的更新及升级服务，并保证上述更新及升级服务不降低应用系统及软件的使用性能。</w:t>
      </w:r>
    </w:p>
    <w:p w14:paraId="3A7A6B41">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双方应积极沟通项目建设进展，建立信息同步机制，保持良好的沟通和及时联络，以确保本项目的建设工作顺利开展。</w:t>
      </w:r>
    </w:p>
    <w:p w14:paraId="3F86D3BF">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五、项目验收</w:t>
      </w:r>
    </w:p>
    <w:p w14:paraId="788E8076">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sz w:val="28"/>
          <w:szCs w:val="28"/>
          <w:lang w:val="en-US" w:eastAsia="zh-CN"/>
        </w:rPr>
      </w:pPr>
      <w:bookmarkStart w:id="0" w:name="_GoBack"/>
      <w:r>
        <w:rPr>
          <w:rFonts w:hint="eastAsia" w:ascii="仿宋" w:hAnsi="仿宋" w:eastAsia="仿宋" w:cs="仿宋"/>
          <w:sz w:val="28"/>
          <w:szCs w:val="28"/>
          <w:lang w:val="en-US" w:eastAsia="zh-CN"/>
        </w:rPr>
        <w:t>1、甲乙双方按照磋商文件、磋商响应文件等技术指标共同对项目进行验收。</w:t>
      </w:r>
    </w:p>
    <w:p w14:paraId="273C86CB">
      <w:pPr>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color w:val="4472C4" w:themeColor="accent1"/>
          <w:sz w:val="28"/>
          <w:szCs w:val="28"/>
          <w14:textFill>
            <w14:solidFill>
              <w14:schemeClr w14:val="accent1"/>
            </w14:solidFill>
          </w14:textFill>
        </w:rPr>
      </w:pPr>
      <w:r>
        <w:rPr>
          <w:rFonts w:hint="eastAsia" w:ascii="仿宋" w:hAnsi="仿宋" w:eastAsia="仿宋" w:cs="仿宋"/>
          <w:sz w:val="28"/>
          <w:szCs w:val="28"/>
          <w:lang w:val="en-US" w:eastAsia="zh-CN"/>
        </w:rPr>
        <w:t>2、设备</w:t>
      </w:r>
      <w:r>
        <w:rPr>
          <w:rFonts w:hint="eastAsia" w:ascii="仿宋" w:hAnsi="仿宋" w:eastAsia="仿宋" w:cs="仿宋"/>
          <w:sz w:val="28"/>
          <w:szCs w:val="28"/>
        </w:rPr>
        <w:t>验收：甲方在到货后的5个工作日内对货物进行检查，并签署收货证明。如对产品数量、包装、外观产生异议，应于到货后的5个工作日内向乙方书面提出</w:t>
      </w:r>
      <w:r>
        <w:rPr>
          <w:rFonts w:hint="eastAsia" w:ascii="仿宋" w:hAnsi="仿宋" w:eastAsia="仿宋" w:cs="仿宋"/>
          <w:sz w:val="28"/>
          <w:szCs w:val="28"/>
          <w:lang w:eastAsia="zh-CN"/>
        </w:rPr>
        <w:t>，</w:t>
      </w:r>
      <w:r>
        <w:rPr>
          <w:rFonts w:hint="eastAsia" w:ascii="仿宋" w:hAnsi="仿宋" w:eastAsia="仿宋" w:cs="仿宋"/>
          <w:sz w:val="28"/>
          <w:szCs w:val="28"/>
        </w:rPr>
        <w:t>但甲方并不对产品</w:t>
      </w:r>
      <w:r>
        <w:rPr>
          <w:rFonts w:hint="eastAsia" w:ascii="仿宋" w:hAnsi="仿宋" w:eastAsia="仿宋" w:cs="仿宋"/>
          <w:sz w:val="28"/>
          <w:szCs w:val="28"/>
          <w:lang w:val="en-US" w:eastAsia="zh-CN"/>
        </w:rPr>
        <w:t>本身的</w:t>
      </w:r>
      <w:r>
        <w:rPr>
          <w:rFonts w:hint="eastAsia" w:ascii="仿宋" w:hAnsi="仿宋" w:eastAsia="仿宋" w:cs="仿宋"/>
          <w:sz w:val="28"/>
          <w:szCs w:val="28"/>
        </w:rPr>
        <w:t>质量进行验收检查，均由乙方负责。</w:t>
      </w:r>
    </w:p>
    <w:p w14:paraId="0A58AD03">
      <w:pPr>
        <w:pStyle w:val="7"/>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项目验收：乙方完成项目交付后，提交项目验收申请报告，甲方依据约定标准在5个工作日（验收期间）内</w:t>
      </w:r>
      <w:r>
        <w:rPr>
          <w:rFonts w:hint="eastAsia" w:ascii="仿宋" w:hAnsi="仿宋" w:eastAsia="仿宋" w:cs="仿宋"/>
          <w:sz w:val="28"/>
          <w:szCs w:val="28"/>
          <w:lang w:val="en-US" w:eastAsia="zh-CN"/>
        </w:rPr>
        <w:t>与乙方共同</w:t>
      </w:r>
      <w:r>
        <w:rPr>
          <w:rFonts w:hint="eastAsia" w:ascii="仿宋" w:hAnsi="仿宋" w:eastAsia="仿宋" w:cs="仿宋"/>
          <w:sz w:val="28"/>
          <w:szCs w:val="28"/>
        </w:rPr>
        <w:t>完成项目整体验收。如验收结论为合格，则甲方于2个工作日内，签署验收合格报告。</w:t>
      </w:r>
      <w:r>
        <w:rPr>
          <w:rFonts w:hint="eastAsia" w:ascii="仿宋" w:hAnsi="仿宋" w:eastAsia="仿宋" w:cs="仿宋"/>
          <w:sz w:val="28"/>
          <w:szCs w:val="28"/>
          <w:lang w:val="en-US" w:eastAsia="zh-CN"/>
        </w:rPr>
        <w:t>如</w:t>
      </w:r>
      <w:r>
        <w:rPr>
          <w:rFonts w:hint="eastAsia" w:ascii="仿宋" w:hAnsi="仿宋" w:eastAsia="仿宋" w:cs="仿宋"/>
          <w:sz w:val="28"/>
          <w:szCs w:val="28"/>
        </w:rPr>
        <w:t>验收中发现与合同要求不符的，乙方应及时按合同要求更换或补齐。</w:t>
      </w:r>
    </w:p>
    <w:bookmarkEnd w:id="0"/>
    <w:p w14:paraId="416741A9">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六、质保及维保服务（提供售后服务承诺书）</w:t>
      </w:r>
    </w:p>
    <w:p w14:paraId="57C188D0">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1、本项目软硬件一次性买断。软件三年免费维保升级，终身提供技术支持，硬件按照国家三包规定执行。质保维保期从验收合格之日起。</w:t>
      </w:r>
    </w:p>
    <w:p w14:paraId="5D3D78E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2、质保期内，如果平台软件发生故障，乙方要在2小时内响应并调查排除故障原因。由乙方开发设计原因造成的问题，乙方须免费修复直至满足甲方需要。</w:t>
      </w:r>
    </w:p>
    <w:p w14:paraId="54D3244F">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质保期内，硬件产品工艺质量严格按国家最新发布的规范标准执行，如发生质量问题由乙方承担全部责任。甲方使用产品过程中因产品质量、产品缺陷及安装质量等造成人身伤亡、财产损失的，由乙方负责解决并承担全部责任。</w:t>
      </w:r>
    </w:p>
    <w:p w14:paraId="547E63FC">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4、维保期内，乙方每年至少二次免费上门维护、回访。</w:t>
      </w:r>
    </w:p>
    <w:p w14:paraId="67CD2F97">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5、维保</w:t>
      </w:r>
      <w:r>
        <w:rPr>
          <w:rFonts w:hint="eastAsia" w:ascii="仿宋" w:hAnsi="仿宋" w:eastAsia="仿宋" w:cs="仿宋"/>
          <w:b w:val="0"/>
          <w:bCs w:val="0"/>
          <w:color w:val="000000" w:themeColor="text1"/>
          <w:sz w:val="28"/>
          <w:szCs w:val="28"/>
          <w14:textFill>
            <w14:solidFill>
              <w14:schemeClr w14:val="tx1"/>
            </w14:solidFill>
          </w14:textFill>
        </w:rPr>
        <w:t>期满后</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运维费用</w:t>
      </w:r>
      <w:r>
        <w:rPr>
          <w:rFonts w:hint="eastAsia" w:ascii="仿宋" w:hAnsi="仿宋" w:eastAsia="仿宋" w:cs="仿宋"/>
          <w:b w:val="0"/>
          <w:bCs w:val="0"/>
          <w:color w:val="000000" w:themeColor="text1"/>
          <w:sz w:val="28"/>
          <w:szCs w:val="28"/>
          <w:lang w:eastAsia="zh-CN"/>
          <w14:textFill>
            <w14:solidFill>
              <w14:schemeClr w14:val="tx1"/>
            </w14:solidFill>
          </w14:textFill>
        </w:rPr>
        <w:t>包含</w:t>
      </w:r>
      <w:r>
        <w:rPr>
          <w:rFonts w:hint="eastAsia" w:ascii="仿宋" w:hAnsi="仿宋" w:eastAsia="仿宋" w:cs="仿宋"/>
          <w:b w:val="0"/>
          <w:bCs w:val="0"/>
          <w:color w:val="000000" w:themeColor="text1"/>
          <w:sz w:val="28"/>
          <w:szCs w:val="28"/>
          <w14:textFill>
            <w14:solidFill>
              <w14:schemeClr w14:val="tx1"/>
            </w14:solidFill>
          </w14:textFill>
        </w:rPr>
        <w:t>硬件更新换代</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产品损坏</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14:textFill>
            <w14:solidFill>
              <w14:schemeClr w14:val="tx1"/>
            </w14:solidFill>
          </w14:textFill>
        </w:rPr>
        <w:t>物联功能升级等，根据实际发生收取相应费用；</w:t>
      </w:r>
    </w:p>
    <w:p w14:paraId="5CF993C8">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七、知识产权</w:t>
      </w:r>
    </w:p>
    <w:p w14:paraId="7BC1D206">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乙方对所供产品及服务保证取得合法知识产权。乙方应保证所提供产品及服务不会出现因第三方提出侵犯其专利权、商标权或其他知识产权而引发的法律或经济纠纷，否则由乙方负责解决并承担全部责任。如因此影响甲方正常使用，甲方有权单方解除本合同，乙方无条件向甲方退回已收取的全部合同价款。</w:t>
      </w:r>
    </w:p>
    <w:p w14:paraId="4D8E52BE">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如果甲方在本合同项下</w:t>
      </w:r>
      <w:r>
        <w:rPr>
          <w:rFonts w:hint="eastAsia" w:ascii="仿宋" w:hAnsi="仿宋" w:eastAsia="仿宋" w:cs="仿宋"/>
          <w:sz w:val="28"/>
          <w:szCs w:val="28"/>
          <w:lang w:val="en-US" w:eastAsia="zh-CN"/>
        </w:rPr>
        <w:t>的</w:t>
      </w:r>
      <w:r>
        <w:rPr>
          <w:rFonts w:hint="eastAsia" w:ascii="仿宋" w:hAnsi="仿宋" w:eastAsia="仿宋" w:cs="仿宋"/>
          <w:sz w:val="28"/>
          <w:szCs w:val="28"/>
        </w:rPr>
        <w:t>产品（或设备）中自行使用本合同及其配置清单中未列明之任何第三方硬件或软件，造成设备故障、损坏或者侵犯第三人的知识产权的，甲方自行承担由此造成的损失和责任，与乙方无关；若乙方因此招致第三人的追责的，甲方应当主动代替乙方承担可能发生的诉讼、赔偿等。</w:t>
      </w:r>
    </w:p>
    <w:p w14:paraId="3D5844E9">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八、保密</w:t>
      </w:r>
    </w:p>
    <w:p w14:paraId="1C41640C">
      <w:pPr>
        <w:pStyle w:val="2"/>
        <w:pageBreakBefore w:val="0"/>
        <w:widowControl w:val="0"/>
        <w:numPr>
          <w:ilvl w:val="0"/>
          <w:numId w:val="0"/>
        </w:numPr>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甲方承诺合法且合理利用乙方提供的技术及服务，整理和使用终端用户数据。乙方承诺为甲方从技术及服务所获取的数据严格保密。未经相关授权许可，任何一方均不得向外披露或泄露相关数据信息。凡未经双方及终端用户书面同意而直接或间接，口头或书面向第三方提供涉及终端用户的信息数据等内容，均属泄密行为。</w:t>
      </w:r>
    </w:p>
    <w:p w14:paraId="0E0DD34F">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九、争议解决</w:t>
      </w:r>
    </w:p>
    <w:p w14:paraId="6C18058C">
      <w:pPr>
        <w:pStyle w:val="2"/>
        <w:pageBreakBefore w:val="0"/>
        <w:widowControl w:val="0"/>
        <w:numPr>
          <w:ilvl w:val="0"/>
          <w:numId w:val="0"/>
        </w:numPr>
        <w:kinsoku/>
        <w:wordWrap/>
        <w:overflowPunct/>
        <w:topLinePunct w:val="0"/>
        <w:autoSpaceDE/>
        <w:autoSpaceDN/>
        <w:bidi w:val="0"/>
        <w:adjustRightInd/>
        <w:snapToGrid/>
        <w:spacing w:after="0" w:line="360" w:lineRule="auto"/>
        <w:ind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合同执行中发生争议的，甲乙双方应积极协商解决，协商达不成一致时，双方同意由甲方所在地人民法院受理。</w:t>
      </w:r>
    </w:p>
    <w:p w14:paraId="6CE726DD">
      <w:pPr>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十、违约责任</w:t>
      </w:r>
    </w:p>
    <w:p w14:paraId="4BB2CA68">
      <w:pPr>
        <w:pStyle w:val="2"/>
        <w:pageBreakBefore w:val="0"/>
        <w:widowControl w:val="0"/>
        <w:numPr>
          <w:ilvl w:val="0"/>
          <w:numId w:val="0"/>
        </w:numPr>
        <w:kinsoku/>
        <w:wordWrap/>
        <w:overflowPunct/>
        <w:topLinePunct w:val="0"/>
        <w:autoSpaceDE/>
        <w:autoSpaceDN/>
        <w:bidi w:val="0"/>
        <w:adjustRightInd/>
        <w:snapToGrid/>
        <w:spacing w:after="0" w:line="360" w:lineRule="auto"/>
        <w:ind w:leftChars="0"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依据《中华人民共和国民法典》《中华人民共和国政府采购法》相关条款和本合同约定，乙方未全面履行合同义务或者发生违约，甲方会同采购代理机构有权终止合同，依法向乙方进行经济索赔，并报请政府采购监督管理机构进行相应的行政处罚。因甲方违约的，应当赔偿乙方经济损失。</w:t>
      </w:r>
    </w:p>
    <w:p w14:paraId="3965228C">
      <w:pPr>
        <w:pStyle w:val="7"/>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乙方逾期供货达</w:t>
      </w:r>
      <w:r>
        <w:rPr>
          <w:rFonts w:hint="eastAsia" w:ascii="仿宋" w:hAnsi="仿宋" w:eastAsia="仿宋" w:cs="仿宋"/>
          <w:sz w:val="28"/>
          <w:szCs w:val="28"/>
          <w:lang w:val="en-US" w:eastAsia="zh-CN"/>
        </w:rPr>
        <w:t>30日以</w:t>
      </w:r>
      <w:r>
        <w:rPr>
          <w:rFonts w:hint="eastAsia" w:ascii="仿宋" w:hAnsi="仿宋" w:eastAsia="仿宋" w:cs="仿宋"/>
          <w:sz w:val="28"/>
          <w:szCs w:val="28"/>
        </w:rPr>
        <w:t>上的，应从第</w:t>
      </w:r>
      <w:r>
        <w:rPr>
          <w:rFonts w:hint="eastAsia" w:ascii="仿宋" w:hAnsi="仿宋" w:eastAsia="仿宋" w:cs="仿宋"/>
          <w:sz w:val="28"/>
          <w:szCs w:val="28"/>
          <w:lang w:val="en-US" w:eastAsia="zh-CN"/>
        </w:rPr>
        <w:t>31</w:t>
      </w:r>
      <w:r>
        <w:rPr>
          <w:rFonts w:hint="eastAsia" w:ascii="仿宋" w:hAnsi="仿宋" w:eastAsia="仿宋" w:cs="仿宋"/>
          <w:sz w:val="28"/>
          <w:szCs w:val="28"/>
        </w:rPr>
        <w:t>日起每日向甲方支付未交货款的万分之五作为延迟履行违约金；</w:t>
      </w:r>
    </w:p>
    <w:p w14:paraId="7F903250">
      <w:pPr>
        <w:pStyle w:val="7"/>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甲方付款期逾期</w:t>
      </w:r>
      <w:r>
        <w:rPr>
          <w:rFonts w:hint="eastAsia" w:ascii="仿宋" w:hAnsi="仿宋" w:eastAsia="仿宋" w:cs="仿宋"/>
          <w:sz w:val="28"/>
          <w:szCs w:val="28"/>
          <w:lang w:val="en-US" w:eastAsia="zh-CN"/>
        </w:rPr>
        <w:t>30</w:t>
      </w:r>
      <w:r>
        <w:rPr>
          <w:rFonts w:hint="eastAsia" w:ascii="仿宋" w:hAnsi="仿宋" w:eastAsia="仿宋" w:cs="仿宋"/>
          <w:sz w:val="28"/>
          <w:szCs w:val="28"/>
        </w:rPr>
        <w:t>以上的，应从第</w:t>
      </w:r>
      <w:r>
        <w:rPr>
          <w:rFonts w:hint="eastAsia" w:ascii="仿宋" w:hAnsi="仿宋" w:eastAsia="仿宋" w:cs="仿宋"/>
          <w:sz w:val="28"/>
          <w:szCs w:val="28"/>
          <w:lang w:val="en-US" w:eastAsia="zh-CN"/>
        </w:rPr>
        <w:t>31</w:t>
      </w:r>
      <w:r>
        <w:rPr>
          <w:rFonts w:hint="eastAsia" w:ascii="仿宋" w:hAnsi="仿宋" w:eastAsia="仿宋" w:cs="仿宋"/>
          <w:sz w:val="28"/>
          <w:szCs w:val="28"/>
        </w:rPr>
        <w:t>日起每日向乙方支付未付款的万分之五作为延迟履行违约金；</w:t>
      </w:r>
    </w:p>
    <w:p w14:paraId="2D8EC5CA">
      <w:pPr>
        <w:pStyle w:val="7"/>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因甲方不支付合同预付款而造成乙方交货延迟的，乙方不承担违约责任</w:t>
      </w:r>
      <w:r>
        <w:rPr>
          <w:rFonts w:hint="eastAsia" w:ascii="仿宋" w:hAnsi="仿宋" w:eastAsia="仿宋" w:cs="仿宋"/>
          <w:sz w:val="28"/>
          <w:szCs w:val="28"/>
          <w:lang w:eastAsia="zh-CN"/>
        </w:rPr>
        <w:t>。</w:t>
      </w:r>
    </w:p>
    <w:p w14:paraId="626C2E84">
      <w:pPr>
        <w:pStyle w:val="7"/>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十</w:t>
      </w:r>
      <w:r>
        <w:rPr>
          <w:rFonts w:hint="eastAsia" w:ascii="黑体" w:hAnsi="黑体" w:eastAsia="黑体" w:cs="黑体"/>
          <w:sz w:val="28"/>
          <w:szCs w:val="28"/>
          <w:lang w:val="en-US" w:eastAsia="zh-CN"/>
        </w:rPr>
        <w:t>一</w:t>
      </w:r>
      <w:r>
        <w:rPr>
          <w:rFonts w:hint="eastAsia" w:ascii="黑体" w:hAnsi="黑体" w:eastAsia="黑体" w:cs="黑体"/>
          <w:sz w:val="28"/>
          <w:szCs w:val="28"/>
        </w:rPr>
        <w:t>、不可抗力</w:t>
      </w:r>
    </w:p>
    <w:p w14:paraId="7F8CDAA7">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本条所述的不可抗力是指不可预见、不可避免且不可克服的事件，这些事件包括但不限于：战争、严重火灾、洪水、台风、地震，以及其他通常被认定为不可抗力的事件；本合同中因为运输的原因而导致货物不能及时到达甲方视为不可抗力。</w:t>
      </w:r>
    </w:p>
    <w:p w14:paraId="08AB34BF">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由于不可抗力事件而造成本合同不能履行、不能完全履行或延迟履行的，受影响的一方不承担违约责任，但应立即将该情况连同证据一起书面通知另一方；不可抗力影响消除后双方应当协商以确认如何继续履行合同。</w:t>
      </w:r>
    </w:p>
    <w:p w14:paraId="366A1480">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因不可抗力事件而造成的任何损失由受损方自行承担。</w:t>
      </w:r>
    </w:p>
    <w:p w14:paraId="4CFF06DF">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十二、其他约定</w:t>
      </w:r>
    </w:p>
    <w:p w14:paraId="613113B6">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本合同适用范围为乙方自行研制、开发、生产</w:t>
      </w:r>
      <w:r>
        <w:rPr>
          <w:rFonts w:hint="eastAsia" w:ascii="仿宋" w:hAnsi="仿宋" w:eastAsia="仿宋" w:cs="仿宋"/>
          <w:sz w:val="28"/>
          <w:szCs w:val="28"/>
          <w:lang w:eastAsia="zh-CN"/>
        </w:rPr>
        <w:t>、</w:t>
      </w:r>
      <w:r>
        <w:rPr>
          <w:rFonts w:hint="eastAsia" w:ascii="仿宋" w:hAnsi="仿宋" w:eastAsia="仿宋" w:cs="仿宋"/>
          <w:sz w:val="28"/>
          <w:szCs w:val="28"/>
        </w:rPr>
        <w:t>集成</w:t>
      </w:r>
      <w:r>
        <w:rPr>
          <w:rFonts w:hint="eastAsia" w:ascii="仿宋" w:hAnsi="仿宋" w:eastAsia="仿宋" w:cs="仿宋"/>
          <w:sz w:val="28"/>
          <w:szCs w:val="28"/>
          <w:lang w:val="en-US" w:eastAsia="zh-CN"/>
        </w:rPr>
        <w:t>或采购</w:t>
      </w:r>
      <w:r>
        <w:rPr>
          <w:rFonts w:hint="eastAsia" w:ascii="仿宋" w:hAnsi="仿宋" w:eastAsia="仿宋" w:cs="仿宋"/>
          <w:sz w:val="28"/>
          <w:szCs w:val="28"/>
        </w:rPr>
        <w:t>的产品，如采购产品中有</w:t>
      </w:r>
      <w:r>
        <w:rPr>
          <w:rFonts w:hint="eastAsia" w:ascii="仿宋" w:hAnsi="仿宋" w:eastAsia="仿宋" w:cs="仿宋"/>
          <w:sz w:val="28"/>
          <w:szCs w:val="28"/>
          <w:lang w:val="en-US" w:eastAsia="zh-CN"/>
        </w:rPr>
        <w:t>甲方</w:t>
      </w:r>
      <w:r>
        <w:rPr>
          <w:rFonts w:hint="eastAsia" w:ascii="仿宋" w:hAnsi="仿宋" w:eastAsia="仿宋" w:cs="仿宋"/>
          <w:sz w:val="28"/>
          <w:szCs w:val="28"/>
        </w:rPr>
        <w:t>代购商品则需另行签署代购合同</w:t>
      </w:r>
      <w:r>
        <w:rPr>
          <w:rFonts w:hint="eastAsia" w:ascii="仿宋" w:hAnsi="仿宋" w:eastAsia="仿宋" w:cs="仿宋"/>
          <w:sz w:val="28"/>
          <w:szCs w:val="28"/>
          <w:lang w:eastAsia="zh-CN"/>
        </w:rPr>
        <w:t>或</w:t>
      </w:r>
      <w:r>
        <w:rPr>
          <w:rFonts w:hint="eastAsia" w:ascii="仿宋" w:hAnsi="仿宋" w:eastAsia="仿宋" w:cs="仿宋"/>
          <w:sz w:val="28"/>
          <w:szCs w:val="28"/>
        </w:rPr>
        <w:t>以特别条款的形式包含在本合同中；代购商品的交货期、质量保证、售后服务和可能引起的其他法律责任</w:t>
      </w:r>
      <w:r>
        <w:rPr>
          <w:rFonts w:hint="eastAsia" w:ascii="仿宋" w:hAnsi="仿宋" w:eastAsia="仿宋" w:cs="仿宋"/>
          <w:sz w:val="28"/>
          <w:szCs w:val="28"/>
          <w:lang w:eastAsia="zh-CN"/>
        </w:rPr>
        <w:t>，</w:t>
      </w:r>
      <w:r>
        <w:rPr>
          <w:rFonts w:hint="eastAsia" w:ascii="仿宋" w:hAnsi="仿宋" w:eastAsia="仿宋" w:cs="仿宋"/>
          <w:sz w:val="28"/>
          <w:szCs w:val="28"/>
        </w:rPr>
        <w:t>由代购</w:t>
      </w:r>
      <w:r>
        <w:rPr>
          <w:rFonts w:hint="eastAsia" w:ascii="仿宋" w:hAnsi="仿宋" w:eastAsia="仿宋" w:cs="仿宋"/>
          <w:sz w:val="28"/>
          <w:szCs w:val="28"/>
          <w:lang w:val="en-US" w:eastAsia="zh-CN"/>
        </w:rPr>
        <w:t>产</w:t>
      </w:r>
      <w:r>
        <w:rPr>
          <w:rFonts w:hint="eastAsia" w:ascii="仿宋" w:hAnsi="仿宋" w:eastAsia="仿宋" w:cs="仿宋"/>
          <w:sz w:val="28"/>
          <w:szCs w:val="28"/>
        </w:rPr>
        <w:t>品的原销售商或生产商承担，乙方不负责任。</w:t>
      </w:r>
    </w:p>
    <w:p w14:paraId="0EEB65FC">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在履行合同时，涉及硬件设备安装施工的，乙方人员要保证安全、文明施工。如在施工过程中出现任何意外情况，乙方需自行承担相应的法律责任，与甲方无关。若因施工行为导致甲方或第三方人身、财产损害，乙方应承担经济赔偿责任及相关法律责任。</w:t>
      </w:r>
    </w:p>
    <w:p w14:paraId="6B588771">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sz w:val="28"/>
          <w:szCs w:val="28"/>
        </w:rPr>
      </w:pPr>
      <w:r>
        <w:rPr>
          <w:rFonts w:hint="eastAsia" w:ascii="黑体" w:hAnsi="黑体" w:eastAsia="黑体" w:cs="黑体"/>
          <w:b w:val="0"/>
          <w:bCs w:val="0"/>
          <w:sz w:val="28"/>
          <w:szCs w:val="28"/>
        </w:rPr>
        <w:t>十</w:t>
      </w: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、合同生效及其他</w:t>
      </w:r>
      <w:r>
        <w:rPr>
          <w:rFonts w:hint="eastAsia" w:ascii="黑体" w:hAnsi="黑体" w:eastAsia="黑体" w:cs="黑体"/>
          <w:b w:val="0"/>
          <w:bCs w:val="0"/>
          <w:sz w:val="28"/>
          <w:szCs w:val="28"/>
        </w:rPr>
        <w:tab/>
      </w:r>
      <w:r>
        <w:rPr>
          <w:rFonts w:hint="eastAsia" w:ascii="仿宋" w:hAnsi="仿宋" w:eastAsia="仿宋" w:cs="仿宋"/>
          <w:b/>
          <w:bCs/>
          <w:sz w:val="28"/>
          <w:szCs w:val="28"/>
        </w:rPr>
        <w:tab/>
      </w:r>
      <w:r>
        <w:rPr>
          <w:rFonts w:hint="eastAsia" w:ascii="仿宋" w:hAnsi="仿宋" w:eastAsia="仿宋" w:cs="仿宋"/>
          <w:b/>
          <w:bCs/>
          <w:sz w:val="28"/>
          <w:szCs w:val="28"/>
        </w:rPr>
        <w:tab/>
      </w:r>
      <w:r>
        <w:rPr>
          <w:rFonts w:hint="eastAsia" w:ascii="仿宋" w:hAnsi="仿宋" w:eastAsia="仿宋" w:cs="仿宋"/>
          <w:b/>
          <w:bCs/>
          <w:sz w:val="28"/>
          <w:szCs w:val="28"/>
        </w:rPr>
        <w:tab/>
      </w:r>
      <w:r>
        <w:rPr>
          <w:rFonts w:hint="eastAsia" w:ascii="仿宋" w:hAnsi="仿宋" w:eastAsia="仿宋" w:cs="仿宋"/>
          <w:b/>
          <w:bCs/>
          <w:sz w:val="28"/>
          <w:szCs w:val="28"/>
        </w:rPr>
        <w:tab/>
      </w:r>
    </w:p>
    <w:p w14:paraId="16E9EBA5">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政府采购合同履行中，</w:t>
      </w:r>
      <w:r>
        <w:rPr>
          <w:rFonts w:hint="eastAsia" w:ascii="仿宋" w:hAnsi="仿宋" w:eastAsia="仿宋" w:cs="仿宋"/>
          <w:sz w:val="28"/>
          <w:szCs w:val="28"/>
          <w:lang w:eastAsia="zh-CN"/>
        </w:rPr>
        <w:t>甲方需追加与合同标的相同的服务的</w:t>
      </w:r>
      <w:r>
        <w:rPr>
          <w:rFonts w:hint="eastAsia" w:ascii="仿宋" w:hAnsi="仿宋" w:eastAsia="仿宋" w:cs="仿宋"/>
          <w:sz w:val="28"/>
          <w:szCs w:val="28"/>
        </w:rPr>
        <w:t>，在不改变合同其他条款的前提下，可以与乙方协商签订补充合同，但所有补充合同的采购金额不得超过原合同采购金额的</w:t>
      </w:r>
      <w:r>
        <w:rPr>
          <w:rFonts w:hint="eastAsia" w:ascii="仿宋" w:hAnsi="仿宋" w:eastAsia="仿宋" w:cs="仿宋"/>
          <w:sz w:val="28"/>
          <w:szCs w:val="28"/>
          <w:lang w:eastAsia="zh-CN"/>
        </w:rPr>
        <w:t>10%</w:t>
      </w:r>
      <w:r>
        <w:rPr>
          <w:rFonts w:hint="eastAsia" w:ascii="仿宋" w:hAnsi="仿宋" w:eastAsia="仿宋" w:cs="仿宋"/>
          <w:sz w:val="28"/>
          <w:szCs w:val="28"/>
        </w:rPr>
        <w:t>。补充协议签订后，报政府采购监督管理部门备案，方可作为主合同不可分割的一部分。</w:t>
      </w:r>
    </w:p>
    <w:p w14:paraId="3B768FEF">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本合同一式</w:t>
      </w:r>
      <w:r>
        <w:rPr>
          <w:rFonts w:hint="eastAsia" w:ascii="仿宋" w:hAnsi="仿宋" w:eastAsia="仿宋" w:cs="仿宋"/>
          <w:sz w:val="28"/>
          <w:szCs w:val="28"/>
          <w:lang w:val="en-US" w:eastAsia="zh-CN"/>
        </w:rPr>
        <w:t>六</w:t>
      </w:r>
      <w:r>
        <w:rPr>
          <w:rFonts w:hint="eastAsia" w:ascii="仿宋" w:hAnsi="仿宋" w:eastAsia="仿宋" w:cs="仿宋"/>
          <w:sz w:val="28"/>
          <w:szCs w:val="28"/>
        </w:rPr>
        <w:t>份，自法定代表人签字并加盖公章后生效。</w:t>
      </w:r>
      <w:r>
        <w:rPr>
          <w:rFonts w:hint="eastAsia" w:ascii="仿宋" w:hAnsi="仿宋" w:eastAsia="仿宋" w:cs="仿宋"/>
          <w:sz w:val="28"/>
          <w:szCs w:val="28"/>
          <w:lang w:val="en-US" w:eastAsia="zh-CN"/>
        </w:rPr>
        <w:t>甲乙双方各</w:t>
      </w:r>
      <w:r>
        <w:rPr>
          <w:rFonts w:hint="eastAsia" w:ascii="仿宋" w:hAnsi="仿宋" w:eastAsia="仿宋" w:cs="仿宋"/>
          <w:sz w:val="28"/>
          <w:szCs w:val="28"/>
        </w:rPr>
        <w:t>持</w:t>
      </w:r>
      <w:r>
        <w:rPr>
          <w:rFonts w:hint="eastAsia" w:ascii="仿宋" w:hAnsi="仿宋" w:eastAsia="仿宋" w:cs="仿宋"/>
          <w:sz w:val="28"/>
          <w:szCs w:val="28"/>
          <w:lang w:val="en-US" w:eastAsia="zh-CN"/>
        </w:rPr>
        <w:t>三</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rPr>
        <w:t>双方补充签署的书面合同将作为本合同不可分割的组成部分，与本合同具有同等法律效力。</w:t>
      </w:r>
    </w:p>
    <w:p w14:paraId="71684AE5">
      <w:pPr>
        <w:rPr>
          <w:rFonts w:hint="eastAsia" w:ascii="仿宋" w:hAnsi="仿宋" w:eastAsia="仿宋" w:cs="仿宋"/>
          <w:sz w:val="28"/>
          <w:szCs w:val="28"/>
        </w:rPr>
      </w:pPr>
    </w:p>
    <w:p w14:paraId="2A2EDCE2">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甲方：（盖章）</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乙方：（盖章）</w:t>
      </w:r>
    </w:p>
    <w:p w14:paraId="3EEAB44B">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法定代表人或主要负责人</w:t>
      </w:r>
      <w:r>
        <w:rPr>
          <w:rFonts w:hint="eastAsia" w:ascii="仿宋" w:hAnsi="仿宋" w:eastAsia="仿宋" w:cs="仿宋"/>
          <w:sz w:val="28"/>
          <w:szCs w:val="28"/>
          <w:lang w:eastAsia="zh-CN"/>
        </w:rPr>
        <w:t>：</w:t>
      </w:r>
      <w:r>
        <w:rPr>
          <w:rFonts w:hint="eastAsia" w:ascii="仿宋" w:hAnsi="仿宋" w:eastAsia="仿宋" w:cs="仿宋"/>
          <w:sz w:val="28"/>
          <w:szCs w:val="28"/>
        </w:rPr>
        <w:tab/>
      </w: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法定代表人或主要负责人</w:t>
      </w:r>
      <w:r>
        <w:rPr>
          <w:rFonts w:hint="eastAsia" w:ascii="仿宋" w:hAnsi="仿宋" w:eastAsia="仿宋" w:cs="仿宋"/>
          <w:sz w:val="28"/>
          <w:szCs w:val="28"/>
          <w:lang w:eastAsia="zh-CN"/>
        </w:rPr>
        <w:t>：</w:t>
      </w:r>
    </w:p>
    <w:p w14:paraId="4F9298EF">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地  址：</w:t>
      </w:r>
    </w:p>
    <w:p w14:paraId="15084484">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开户银行：</w:t>
      </w:r>
    </w:p>
    <w:p w14:paraId="0A1C801D">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账号：</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账号：</w:t>
      </w:r>
    </w:p>
    <w:p w14:paraId="5888AB62">
      <w:pPr>
        <w:pStyle w:val="2"/>
        <w:pageBreakBefore w:val="0"/>
        <w:widowControl w:val="0"/>
        <w:kinsoku/>
        <w:wordWrap/>
        <w:overflowPunct/>
        <w:topLinePunct w:val="0"/>
        <w:autoSpaceDE/>
        <w:autoSpaceDN/>
        <w:bidi w:val="0"/>
        <w:adjustRightInd/>
        <w:snapToGrid/>
        <w:spacing w:after="0" w:line="360" w:lineRule="auto"/>
        <w:ind w:firstLine="560" w:firstLineChars="200"/>
        <w:textAlignment w:val="auto"/>
      </w:pPr>
      <w:r>
        <w:rPr>
          <w:rFonts w:hint="eastAsia" w:ascii="仿宋" w:hAnsi="仿宋" w:eastAsia="仿宋" w:cs="仿宋"/>
          <w:sz w:val="28"/>
          <w:szCs w:val="28"/>
        </w:rPr>
        <w:t>签订日期：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 xml:space="preserve">  签订日期：年 月 日</w:t>
      </w:r>
    </w:p>
    <w:sectPr>
      <w:headerReference r:id="rId7" w:type="first"/>
      <w:headerReference r:id="rId5" w:type="default"/>
      <w:footerReference r:id="rId8" w:type="default"/>
      <w:headerReference r:id="rId6" w:type="even"/>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6719135"/>
    </w:sdtPr>
    <w:sdtContent>
      <w:sdt>
        <w:sdtPr>
          <w:id w:val="1728636285"/>
        </w:sdtPr>
        <w:sdtContent>
          <w:p w14:paraId="3B46F1FF">
            <w:pPr>
              <w:pStyle w:val="9"/>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29</w:t>
            </w:r>
            <w:r>
              <w:rPr>
                <w:b/>
                <w:bCs/>
                <w:sz w:val="24"/>
                <w:szCs w:val="24"/>
              </w:rPr>
              <w:fldChar w:fldCharType="end"/>
            </w:r>
          </w:p>
        </w:sdtContent>
      </w:sdt>
    </w:sdtContent>
  </w:sdt>
  <w:p w14:paraId="2BBE8F3E">
    <w:pPr>
      <w:pStyle w:val="9"/>
      <w:ind w:firstLine="360"/>
    </w:pPr>
  </w:p>
  <w:p w14:paraId="4889FB90">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7003A">
    <w:pPr>
      <w:pStyle w:val="10"/>
      <w:ind w:firstLine="360"/>
    </w:pPr>
  </w:p>
  <w:p w14:paraId="58707B06">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9DEE7">
    <w:pPr>
      <w:pStyle w:val="10"/>
      <w:ind w:firstLine="360"/>
    </w:pPr>
  </w:p>
  <w:p w14:paraId="09B8FE37">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81875">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B5BDE"/>
    <w:multiLevelType w:val="multilevel"/>
    <w:tmpl w:val="117B5BDE"/>
    <w:lvl w:ilvl="0" w:tentative="0">
      <w:start w:val="1"/>
      <w:numFmt w:val="chineseCountingThousand"/>
      <w:pStyle w:val="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jOTkzMmYxYWIzYTc3MzUzODUwYzg2MDRiNjU0Y2QifQ=="/>
  </w:docVars>
  <w:rsids>
    <w:rsidRoot w:val="001938F8"/>
    <w:rsid w:val="00070CD0"/>
    <w:rsid w:val="000757EA"/>
    <w:rsid w:val="000B55A8"/>
    <w:rsid w:val="001938F8"/>
    <w:rsid w:val="002A3077"/>
    <w:rsid w:val="00312587"/>
    <w:rsid w:val="0038190D"/>
    <w:rsid w:val="004F22C3"/>
    <w:rsid w:val="0054057E"/>
    <w:rsid w:val="006C3D55"/>
    <w:rsid w:val="00813BDB"/>
    <w:rsid w:val="0088407D"/>
    <w:rsid w:val="00886058"/>
    <w:rsid w:val="008D1414"/>
    <w:rsid w:val="008F2C32"/>
    <w:rsid w:val="00A65F7B"/>
    <w:rsid w:val="00AA6CBC"/>
    <w:rsid w:val="00BC68B4"/>
    <w:rsid w:val="00C01E1D"/>
    <w:rsid w:val="00C20848"/>
    <w:rsid w:val="00C6579E"/>
    <w:rsid w:val="00D051F2"/>
    <w:rsid w:val="00D1445B"/>
    <w:rsid w:val="00E44EC6"/>
    <w:rsid w:val="00EC01E6"/>
    <w:rsid w:val="00EE4570"/>
    <w:rsid w:val="00F00333"/>
    <w:rsid w:val="00F95D2D"/>
    <w:rsid w:val="00FC3AF1"/>
    <w:rsid w:val="22154C6B"/>
    <w:rsid w:val="271846FB"/>
    <w:rsid w:val="31B85D4E"/>
    <w:rsid w:val="3986639D"/>
    <w:rsid w:val="3C350209"/>
    <w:rsid w:val="44851F26"/>
    <w:rsid w:val="5E9345EC"/>
    <w:rsid w:val="62464F83"/>
    <w:rsid w:val="67EB5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Arial" w:hAnsi="Arial" w:eastAsia="宋体" w:cstheme="minorBidi"/>
      <w:kern w:val="2"/>
      <w:sz w:val="21"/>
      <w:szCs w:val="22"/>
      <w:lang w:val="en-US" w:eastAsia="zh-CN" w:bidi="ar-SA"/>
    </w:rPr>
  </w:style>
  <w:style w:type="paragraph" w:styleId="3">
    <w:name w:val="heading 1"/>
    <w:basedOn w:val="1"/>
    <w:next w:val="1"/>
    <w:link w:val="21"/>
    <w:qFormat/>
    <w:uiPriority w:val="9"/>
    <w:pPr>
      <w:keepNext/>
      <w:keepLines/>
      <w:spacing w:before="120" w:after="120"/>
      <w:jc w:val="center"/>
      <w:outlineLvl w:val="0"/>
    </w:pPr>
    <w:rPr>
      <w:b/>
      <w:bCs/>
      <w:kern w:val="44"/>
      <w:sz w:val="44"/>
      <w:szCs w:val="44"/>
    </w:rPr>
  </w:style>
  <w:style w:type="paragraph" w:styleId="4">
    <w:name w:val="heading 2"/>
    <w:basedOn w:val="1"/>
    <w:next w:val="1"/>
    <w:link w:val="22"/>
    <w:unhideWhenUsed/>
    <w:qFormat/>
    <w:uiPriority w:val="9"/>
    <w:pPr>
      <w:keepNext/>
      <w:keepLines/>
      <w:numPr>
        <w:ilvl w:val="0"/>
        <w:numId w:val="1"/>
      </w:numPr>
      <w:spacing w:before="120" w:after="120"/>
      <w:ind w:left="0" w:firstLine="0"/>
      <w:outlineLvl w:val="1"/>
    </w:pPr>
    <w:rPr>
      <w:rFonts w:cstheme="majorBidi"/>
      <w:b/>
      <w:bCs/>
      <w:sz w:val="24"/>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3"/>
    <w:unhideWhenUsed/>
    <w:qFormat/>
    <w:uiPriority w:val="99"/>
    <w:pPr>
      <w:spacing w:after="120"/>
    </w:pPr>
  </w:style>
  <w:style w:type="paragraph" w:styleId="5">
    <w:name w:val="Document Map"/>
    <w:basedOn w:val="1"/>
    <w:link w:val="24"/>
    <w:semiHidden/>
    <w:qFormat/>
    <w:uiPriority w:val="0"/>
    <w:pPr>
      <w:shd w:val="clear" w:color="auto" w:fill="000080"/>
    </w:pPr>
  </w:style>
  <w:style w:type="paragraph" w:styleId="6">
    <w:name w:val="annotation text"/>
    <w:basedOn w:val="1"/>
    <w:link w:val="25"/>
    <w:semiHidden/>
    <w:unhideWhenUsed/>
    <w:qFormat/>
    <w:uiPriority w:val="99"/>
    <w:pPr>
      <w:jc w:val="left"/>
    </w:pPr>
  </w:style>
  <w:style w:type="paragraph" w:styleId="7">
    <w:name w:val="Plain Text"/>
    <w:basedOn w:val="1"/>
    <w:semiHidden/>
    <w:qFormat/>
    <w:uiPriority w:val="0"/>
    <w:rPr>
      <w:rFonts w:ascii="宋体" w:hAnsi="Courier New" w:cs="Courier New"/>
      <w:szCs w:val="21"/>
    </w:rPr>
  </w:style>
  <w:style w:type="paragraph" w:styleId="8">
    <w:name w:val="Balloon Text"/>
    <w:basedOn w:val="1"/>
    <w:link w:val="26"/>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tabs>
        <w:tab w:val="center" w:pos="4153"/>
        <w:tab w:val="right" w:pos="8306"/>
      </w:tabs>
      <w:snapToGrid w:val="0"/>
      <w:jc w:val="center"/>
    </w:pPr>
    <w:rPr>
      <w:sz w:val="18"/>
      <w:szCs w:val="18"/>
    </w:rPr>
  </w:style>
  <w:style w:type="paragraph" w:styleId="11">
    <w:name w:val="Body Text Indent 3"/>
    <w:basedOn w:val="1"/>
    <w:link w:val="30"/>
    <w:qFormat/>
    <w:uiPriority w:val="0"/>
    <w:pPr>
      <w:spacing w:before="60" w:after="60" w:line="400" w:lineRule="atLeast"/>
      <w:ind w:firstLine="425"/>
    </w:pPr>
    <w:rPr>
      <w:rFonts w:ascii="宋体" w:hAnsi="Times New Roman" w:cs="Times New Roman"/>
      <w:sz w:val="24"/>
      <w:szCs w:val="20"/>
      <w:lang w:val="zh-CN"/>
    </w:rPr>
  </w:style>
  <w:style w:type="paragraph" w:styleId="12">
    <w:name w:val="Normal (Web)"/>
    <w:basedOn w:val="1"/>
    <w:unhideWhenUsed/>
    <w:qFormat/>
    <w:uiPriority w:val="99"/>
    <w:pPr>
      <w:widowControl/>
      <w:spacing w:before="100" w:beforeAutospacing="1" w:after="100" w:afterAutospacing="1" w:line="240" w:lineRule="auto"/>
      <w:jc w:val="left"/>
    </w:pPr>
    <w:rPr>
      <w:rFonts w:ascii="宋体" w:hAnsi="宋体" w:cs="宋体"/>
      <w:kern w:val="0"/>
      <w:sz w:val="24"/>
      <w:szCs w:val="24"/>
    </w:rPr>
  </w:style>
  <w:style w:type="paragraph" w:styleId="13">
    <w:name w:val="annotation subject"/>
    <w:basedOn w:val="6"/>
    <w:next w:val="6"/>
    <w:link w:val="28"/>
    <w:semiHidden/>
    <w:unhideWhenUsed/>
    <w:qFormat/>
    <w:uiPriority w:val="99"/>
    <w:rPr>
      <w:b/>
      <w:bCs/>
    </w:rPr>
  </w:style>
  <w:style w:type="table" w:styleId="15">
    <w:name w:val="Table Grid"/>
    <w:basedOn w:val="14"/>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basedOn w:val="16"/>
    <w:qFormat/>
    <w:uiPriority w:val="20"/>
    <w:rPr>
      <w:i/>
    </w:rPr>
  </w:style>
  <w:style w:type="character" w:styleId="18">
    <w:name w:val="annotation reference"/>
    <w:basedOn w:val="16"/>
    <w:semiHidden/>
    <w:unhideWhenUsed/>
    <w:qFormat/>
    <w:uiPriority w:val="99"/>
    <w:rPr>
      <w:sz w:val="21"/>
      <w:szCs w:val="21"/>
    </w:rPr>
  </w:style>
  <w:style w:type="character" w:customStyle="1" w:styleId="19">
    <w:name w:val="页眉 字符"/>
    <w:basedOn w:val="16"/>
    <w:link w:val="10"/>
    <w:qFormat/>
    <w:uiPriority w:val="99"/>
    <w:rPr>
      <w:sz w:val="18"/>
      <w:szCs w:val="18"/>
    </w:rPr>
  </w:style>
  <w:style w:type="character" w:customStyle="1" w:styleId="20">
    <w:name w:val="页脚 字符"/>
    <w:basedOn w:val="16"/>
    <w:link w:val="9"/>
    <w:qFormat/>
    <w:uiPriority w:val="99"/>
    <w:rPr>
      <w:sz w:val="18"/>
      <w:szCs w:val="18"/>
    </w:rPr>
  </w:style>
  <w:style w:type="character" w:customStyle="1" w:styleId="21">
    <w:name w:val="标题 1 字符"/>
    <w:basedOn w:val="16"/>
    <w:link w:val="3"/>
    <w:qFormat/>
    <w:uiPriority w:val="9"/>
    <w:rPr>
      <w:rFonts w:ascii="Arial" w:hAnsi="Arial" w:eastAsia="宋体"/>
      <w:b/>
      <w:bCs/>
      <w:kern w:val="44"/>
      <w:sz w:val="44"/>
      <w:szCs w:val="44"/>
    </w:rPr>
  </w:style>
  <w:style w:type="character" w:customStyle="1" w:styleId="22">
    <w:name w:val="标题 2 字符"/>
    <w:basedOn w:val="16"/>
    <w:link w:val="4"/>
    <w:qFormat/>
    <w:uiPriority w:val="9"/>
    <w:rPr>
      <w:rFonts w:ascii="Arial" w:hAnsi="Arial" w:eastAsia="宋体" w:cstheme="majorBidi"/>
      <w:b/>
      <w:bCs/>
      <w:sz w:val="24"/>
      <w:szCs w:val="32"/>
    </w:rPr>
  </w:style>
  <w:style w:type="character" w:customStyle="1" w:styleId="23">
    <w:name w:val="正文文本 字符"/>
    <w:basedOn w:val="16"/>
    <w:link w:val="2"/>
    <w:qFormat/>
    <w:uiPriority w:val="99"/>
    <w:rPr>
      <w:rFonts w:ascii="Arial" w:hAnsi="Arial" w:eastAsia="宋体"/>
    </w:rPr>
  </w:style>
  <w:style w:type="character" w:customStyle="1" w:styleId="24">
    <w:name w:val="文档结构图 字符"/>
    <w:basedOn w:val="16"/>
    <w:link w:val="5"/>
    <w:semiHidden/>
    <w:qFormat/>
    <w:uiPriority w:val="0"/>
    <w:rPr>
      <w:rFonts w:ascii="Arial" w:hAnsi="Arial" w:eastAsia="宋体"/>
      <w:shd w:val="clear" w:color="auto" w:fill="000080"/>
    </w:rPr>
  </w:style>
  <w:style w:type="character" w:customStyle="1" w:styleId="25">
    <w:name w:val="批注文字 字符"/>
    <w:basedOn w:val="16"/>
    <w:link w:val="6"/>
    <w:semiHidden/>
    <w:qFormat/>
    <w:uiPriority w:val="99"/>
    <w:rPr>
      <w:rFonts w:ascii="Arial" w:hAnsi="Arial" w:eastAsia="宋体"/>
    </w:rPr>
  </w:style>
  <w:style w:type="character" w:customStyle="1" w:styleId="26">
    <w:name w:val="批注框文本 字符"/>
    <w:basedOn w:val="16"/>
    <w:link w:val="8"/>
    <w:semiHidden/>
    <w:qFormat/>
    <w:uiPriority w:val="99"/>
    <w:rPr>
      <w:rFonts w:ascii="Arial" w:hAnsi="Arial" w:eastAsia="宋体"/>
      <w:sz w:val="18"/>
      <w:szCs w:val="18"/>
    </w:rPr>
  </w:style>
  <w:style w:type="character" w:customStyle="1" w:styleId="27">
    <w:name w:val="正文文本缩进 3 字符"/>
    <w:basedOn w:val="16"/>
    <w:semiHidden/>
    <w:qFormat/>
    <w:uiPriority w:val="99"/>
    <w:rPr>
      <w:rFonts w:ascii="Arial" w:hAnsi="Arial" w:eastAsia="宋体"/>
      <w:sz w:val="16"/>
      <w:szCs w:val="16"/>
    </w:rPr>
  </w:style>
  <w:style w:type="character" w:customStyle="1" w:styleId="28">
    <w:name w:val="批注主题 字符"/>
    <w:basedOn w:val="25"/>
    <w:link w:val="13"/>
    <w:semiHidden/>
    <w:qFormat/>
    <w:uiPriority w:val="99"/>
    <w:rPr>
      <w:rFonts w:ascii="Arial" w:hAnsi="Arial" w:eastAsia="宋体"/>
      <w:b/>
      <w:bCs/>
    </w:rPr>
  </w:style>
  <w:style w:type="paragraph" w:customStyle="1" w:styleId="29">
    <w:name w:val="修订1"/>
    <w:hidden/>
    <w:semiHidden/>
    <w:qFormat/>
    <w:uiPriority w:val="99"/>
    <w:rPr>
      <w:rFonts w:ascii="Arial" w:hAnsi="Arial" w:eastAsia="宋体" w:cstheme="minorBidi"/>
      <w:kern w:val="2"/>
      <w:sz w:val="21"/>
      <w:szCs w:val="22"/>
      <w:lang w:val="en-US" w:eastAsia="zh-CN" w:bidi="ar-SA"/>
    </w:rPr>
  </w:style>
  <w:style w:type="character" w:customStyle="1" w:styleId="30">
    <w:name w:val="正文文本缩进 3 字符1"/>
    <w:link w:val="11"/>
    <w:qFormat/>
    <w:uiPriority w:val="0"/>
    <w:rPr>
      <w:rFonts w:ascii="宋体" w:hAnsi="Times New Roman" w:eastAsia="宋体" w:cs="Times New Roman"/>
      <w:sz w:val="24"/>
      <w:szCs w:val="20"/>
      <w:lang w:val="zh-CN"/>
    </w:rPr>
  </w:style>
  <w:style w:type="paragraph" w:styleId="31">
    <w:name w:val="List Paragraph"/>
    <w:basedOn w:val="1"/>
    <w:qFormat/>
    <w:uiPriority w:val="99"/>
    <w:pPr>
      <w:ind w:firstLine="420" w:firstLineChars="200"/>
    </w:pPr>
  </w:style>
  <w:style w:type="paragraph" w:customStyle="1" w:styleId="32">
    <w:name w:val="Heading2"/>
    <w:basedOn w:val="1"/>
    <w:next w:val="1"/>
    <w:qFormat/>
    <w:uiPriority w:val="0"/>
    <w:pPr>
      <w:widowControl/>
      <w:spacing w:before="100" w:beforeAutospacing="1" w:after="100" w:afterAutospacing="1"/>
      <w:jc w:val="left"/>
      <w:textAlignment w:val="baseline"/>
    </w:pPr>
    <w:rPr>
      <w:rFonts w:ascii="宋体" w:hAnsi="宋体" w:cs="宋体"/>
      <w:b/>
      <w:bCs/>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3108</Words>
  <Characters>3138</Characters>
  <Lines>187</Lines>
  <Paragraphs>52</Paragraphs>
  <TotalTime>17</TotalTime>
  <ScaleCrop>false</ScaleCrop>
  <LinksUpToDate>false</LinksUpToDate>
  <CharactersWithSpaces>3369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2023-08-22T02:40:00Z</dcterms:created>
  <dc:creator>koala 梁</dc:creator>
  <cp:lastModifiedBy>Lafayette</cp:lastModifiedBy>
  <dcterms:modified xsi:type="dcterms:W3CDTF">2025-03-28T04:38:51Z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FB700800DBD446E1BB6057CAB926A7BB_13</vt:lpwstr>
  </property>
  <property fmtid="{D5CDD505-2E9C-101B-9397-08002B2CF9AE}" pid="4" name="KSOTemplateDocerSaveRecord">
    <vt:lpwstr>eyJoZGlkIjoiYjE2MTI1Y2IzNjFhM2Q1ZjRlNDI5YjMyNzk2OTc5NmIiLCJ1c2VySWQiOiIzOTM3MTE5MjUifQ==</vt:lpwstr>
  </property>
</Properties>
</file>