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F67918">
      <w:pPr>
        <w:adjustRightInd w:val="0"/>
        <w:snapToGrid w:val="0"/>
        <w:spacing w:line="360" w:lineRule="auto"/>
        <w:jc w:val="center"/>
        <w:rPr>
          <w:rFonts w:ascii="宋体" w:hAnsi="宋体" w:eastAsia="宋体" w:cs="宋体"/>
          <w:b/>
          <w:bCs/>
          <w:sz w:val="48"/>
          <w:szCs w:val="48"/>
          <w:highlight w:val="none"/>
        </w:rPr>
      </w:pPr>
    </w:p>
    <w:p w14:paraId="192FE873">
      <w:pPr>
        <w:adjustRightInd w:val="0"/>
        <w:snapToGrid w:val="0"/>
        <w:spacing w:line="360" w:lineRule="auto"/>
        <w:jc w:val="center"/>
        <w:rPr>
          <w:rFonts w:ascii="宋体" w:hAnsi="宋体" w:eastAsia="宋体" w:cs="宋体"/>
          <w:b/>
          <w:bCs/>
          <w:sz w:val="48"/>
          <w:szCs w:val="48"/>
          <w:highlight w:val="none"/>
        </w:rPr>
      </w:pPr>
      <w:r>
        <w:rPr>
          <w:rFonts w:hint="eastAsia" w:ascii="宋体" w:hAnsi="宋体" w:eastAsia="宋体" w:cs="宋体"/>
          <w:b/>
          <w:bCs/>
          <w:sz w:val="48"/>
          <w:szCs w:val="48"/>
          <w:highlight w:val="none"/>
        </w:rPr>
        <w:t>陕西省肿瘤医院</w:t>
      </w:r>
    </w:p>
    <w:p w14:paraId="200F089F">
      <w:pPr>
        <w:adjustRightInd w:val="0"/>
        <w:snapToGrid w:val="0"/>
        <w:spacing w:line="360" w:lineRule="auto"/>
        <w:jc w:val="center"/>
        <w:rPr>
          <w:rFonts w:hint="eastAsia" w:ascii="宋体" w:hAnsi="宋体" w:eastAsia="宋体" w:cs="宋体"/>
          <w:b/>
          <w:bCs/>
          <w:sz w:val="48"/>
          <w:szCs w:val="48"/>
          <w:highlight w:val="none"/>
          <w:lang w:eastAsia="zh-CN"/>
        </w:rPr>
      </w:pPr>
      <w:r>
        <w:rPr>
          <w:rFonts w:hint="eastAsia" w:ascii="宋体" w:hAnsi="宋体" w:eastAsia="宋体" w:cs="宋体"/>
          <w:b/>
          <w:bCs/>
          <w:sz w:val="48"/>
          <w:szCs w:val="48"/>
          <w:highlight w:val="none"/>
          <w:lang w:eastAsia="zh-CN"/>
        </w:rPr>
        <w:t>西门子64排128层CT维保服务项目</w:t>
      </w:r>
    </w:p>
    <w:p w14:paraId="2C922500">
      <w:pPr>
        <w:adjustRightInd w:val="0"/>
        <w:snapToGrid w:val="0"/>
        <w:spacing w:line="360" w:lineRule="auto"/>
        <w:ind w:firstLine="2409" w:firstLineChars="1000"/>
        <w:jc w:val="left"/>
        <w:rPr>
          <w:rFonts w:ascii="宋体" w:hAnsi="宋体" w:eastAsia="宋体" w:cs="宋体"/>
          <w:b/>
          <w:bCs/>
          <w:sz w:val="24"/>
          <w:highlight w:val="none"/>
        </w:rPr>
      </w:pPr>
    </w:p>
    <w:p w14:paraId="3213A7D6">
      <w:pPr>
        <w:adjustRightInd w:val="0"/>
        <w:snapToGrid w:val="0"/>
        <w:spacing w:line="360" w:lineRule="auto"/>
        <w:ind w:firstLine="2400" w:firstLineChars="1000"/>
        <w:jc w:val="left"/>
        <w:rPr>
          <w:rFonts w:ascii="宋体" w:hAnsi="宋体" w:eastAsia="宋体" w:cs="宋体"/>
          <w:b/>
          <w:bCs/>
          <w:sz w:val="24"/>
          <w:highlight w:val="none"/>
        </w:rPr>
      </w:pPr>
      <w:r>
        <w:rPr>
          <w:rFonts w:hint="eastAsia" w:ascii="宋体" w:hAnsi="宋体" w:eastAsia="宋体" w:cs="宋体"/>
          <w:sz w:val="24"/>
          <w:highlight w:val="none"/>
        </w:rPr>
        <w:t xml:space="preserve">  </w:t>
      </w:r>
      <w:r>
        <w:rPr>
          <w:rFonts w:hint="eastAsia" w:ascii="宋体" w:hAnsi="宋体" w:eastAsia="宋体" w:cs="宋体"/>
          <w:b/>
          <w:bCs/>
          <w:sz w:val="84"/>
          <w:szCs w:val="84"/>
          <w:highlight w:val="none"/>
        </w:rPr>
        <w:t>服务合同</w:t>
      </w:r>
    </w:p>
    <w:p w14:paraId="1A3817E5">
      <w:pPr>
        <w:adjustRightInd w:val="0"/>
        <w:snapToGrid w:val="0"/>
        <w:spacing w:line="360" w:lineRule="auto"/>
        <w:ind w:firstLine="2409" w:firstLineChars="1000"/>
        <w:jc w:val="left"/>
        <w:rPr>
          <w:rFonts w:ascii="宋体" w:hAnsi="宋体" w:eastAsia="宋体" w:cs="宋体"/>
          <w:b/>
          <w:bCs/>
          <w:sz w:val="24"/>
          <w:highlight w:val="none"/>
        </w:rPr>
      </w:pPr>
    </w:p>
    <w:p w14:paraId="771D7941">
      <w:pPr>
        <w:adjustRightInd w:val="0"/>
        <w:snapToGrid w:val="0"/>
        <w:spacing w:line="360" w:lineRule="auto"/>
        <w:ind w:firstLine="480" w:firstLineChars="200"/>
        <w:jc w:val="left"/>
        <w:rPr>
          <w:rFonts w:ascii="宋体" w:hAnsi="宋体" w:eastAsia="宋体" w:cs="宋体"/>
          <w:sz w:val="24"/>
          <w:highlight w:val="none"/>
        </w:rPr>
      </w:pPr>
    </w:p>
    <w:p w14:paraId="790CC7F2">
      <w:pPr>
        <w:adjustRightInd w:val="0"/>
        <w:snapToGrid w:val="0"/>
        <w:spacing w:line="360" w:lineRule="auto"/>
        <w:ind w:firstLine="480" w:firstLineChars="200"/>
        <w:jc w:val="left"/>
        <w:rPr>
          <w:rFonts w:ascii="宋体" w:hAnsi="宋体" w:eastAsia="宋体" w:cs="宋体"/>
          <w:sz w:val="24"/>
          <w:highlight w:val="none"/>
        </w:rPr>
      </w:pPr>
    </w:p>
    <w:p w14:paraId="28E63384">
      <w:pPr>
        <w:adjustRightInd w:val="0"/>
        <w:snapToGrid w:val="0"/>
        <w:spacing w:line="360" w:lineRule="auto"/>
        <w:ind w:firstLine="480" w:firstLineChars="200"/>
        <w:jc w:val="left"/>
        <w:rPr>
          <w:rFonts w:ascii="宋体" w:hAnsi="宋体" w:eastAsia="宋体" w:cs="宋体"/>
          <w:sz w:val="24"/>
          <w:highlight w:val="none"/>
        </w:rPr>
      </w:pPr>
    </w:p>
    <w:p w14:paraId="7D65E4F8">
      <w:pPr>
        <w:adjustRightInd w:val="0"/>
        <w:snapToGrid w:val="0"/>
        <w:spacing w:line="360" w:lineRule="auto"/>
        <w:ind w:firstLine="480" w:firstLineChars="200"/>
        <w:jc w:val="left"/>
        <w:rPr>
          <w:rFonts w:ascii="宋体" w:hAnsi="宋体" w:eastAsia="宋体" w:cs="宋体"/>
          <w:sz w:val="24"/>
          <w:highlight w:val="none"/>
        </w:rPr>
      </w:pPr>
    </w:p>
    <w:p w14:paraId="38030734">
      <w:pPr>
        <w:adjustRightInd w:val="0"/>
        <w:snapToGrid w:val="0"/>
        <w:spacing w:line="360" w:lineRule="auto"/>
        <w:ind w:firstLine="480" w:firstLineChars="200"/>
        <w:jc w:val="left"/>
        <w:rPr>
          <w:rFonts w:ascii="宋体" w:hAnsi="宋体" w:eastAsia="宋体" w:cs="宋体"/>
          <w:sz w:val="24"/>
          <w:highlight w:val="none"/>
        </w:rPr>
      </w:pPr>
    </w:p>
    <w:p w14:paraId="631B5E6C">
      <w:pPr>
        <w:adjustRightInd w:val="0"/>
        <w:snapToGrid w:val="0"/>
        <w:spacing w:line="360" w:lineRule="auto"/>
        <w:ind w:firstLine="480" w:firstLineChars="200"/>
        <w:jc w:val="left"/>
        <w:rPr>
          <w:rFonts w:ascii="宋体" w:hAnsi="宋体" w:eastAsia="宋体" w:cs="宋体"/>
          <w:sz w:val="24"/>
          <w:highlight w:val="none"/>
        </w:rPr>
      </w:pPr>
    </w:p>
    <w:p w14:paraId="6D42637D">
      <w:pPr>
        <w:adjustRightInd w:val="0"/>
        <w:snapToGrid w:val="0"/>
        <w:spacing w:line="360" w:lineRule="auto"/>
        <w:ind w:firstLine="1928" w:firstLineChars="600"/>
        <w:jc w:val="left"/>
        <w:rPr>
          <w:rFonts w:ascii="宋体" w:hAnsi="宋体" w:eastAsia="宋体" w:cs="宋体"/>
          <w:b/>
          <w:bCs/>
          <w:sz w:val="32"/>
          <w:szCs w:val="32"/>
          <w:highlight w:val="none"/>
        </w:rPr>
      </w:pPr>
      <w:r>
        <w:rPr>
          <w:rFonts w:hint="eastAsia" w:ascii="宋体" w:hAnsi="宋体" w:eastAsia="宋体" w:cs="宋体"/>
          <w:b/>
          <w:bCs/>
          <w:sz w:val="32"/>
          <w:szCs w:val="32"/>
          <w:highlight w:val="none"/>
        </w:rPr>
        <w:t>甲方： 陕西省肿瘤医院</w:t>
      </w:r>
    </w:p>
    <w:p w14:paraId="699AE421">
      <w:pPr>
        <w:adjustRightInd w:val="0"/>
        <w:snapToGrid w:val="0"/>
        <w:spacing w:line="360" w:lineRule="auto"/>
        <w:ind w:firstLine="1928" w:firstLineChars="600"/>
        <w:jc w:val="left"/>
        <w:rPr>
          <w:rFonts w:ascii="宋体" w:hAnsi="宋体" w:eastAsia="宋体" w:cs="宋体"/>
          <w:b/>
          <w:bCs/>
          <w:sz w:val="32"/>
          <w:szCs w:val="32"/>
          <w:highlight w:val="none"/>
          <w:u w:val="single"/>
        </w:rPr>
      </w:pPr>
      <w:r>
        <w:rPr>
          <w:rFonts w:hint="eastAsia" w:ascii="宋体" w:hAnsi="宋体" w:eastAsia="宋体" w:cs="宋体"/>
          <w:b/>
          <w:bCs/>
          <w:sz w:val="32"/>
          <w:szCs w:val="32"/>
          <w:highlight w:val="none"/>
        </w:rPr>
        <w:t>乙方：</w:t>
      </w:r>
      <w:r>
        <w:rPr>
          <w:rFonts w:hint="eastAsia" w:ascii="宋体" w:hAnsi="宋体" w:eastAsia="宋体" w:cs="宋体"/>
          <w:b/>
          <w:bCs/>
          <w:sz w:val="32"/>
          <w:szCs w:val="32"/>
          <w:highlight w:val="none"/>
          <w:u w:val="single"/>
        </w:rPr>
        <w:t xml:space="preserve">               </w:t>
      </w:r>
    </w:p>
    <w:p w14:paraId="499BCC40">
      <w:pPr>
        <w:spacing w:line="360" w:lineRule="auto"/>
        <w:jc w:val="center"/>
        <w:rPr>
          <w:rFonts w:ascii="宋体" w:hAnsi="宋体" w:eastAsia="宋体" w:cs="宋体"/>
          <w:b/>
          <w:sz w:val="30"/>
          <w:szCs w:val="30"/>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 xml:space="preserve">   </w:t>
      </w:r>
      <w:r>
        <w:rPr>
          <w:rFonts w:hint="eastAsia" w:ascii="宋体" w:hAnsi="宋体" w:eastAsia="宋体" w:cs="宋体"/>
          <w:b/>
          <w:sz w:val="44"/>
          <w:szCs w:val="44"/>
          <w:highlight w:val="none"/>
        </w:rPr>
        <w:t>服务合同</w:t>
      </w:r>
    </w:p>
    <w:p w14:paraId="7424DCC6">
      <w:pPr>
        <w:shd w:val="clear" w:color="auto" w:fill="FFFFFF"/>
        <w:spacing w:beforeLines="100" w:afterLines="100" w:line="360" w:lineRule="auto"/>
        <w:ind w:firstLine="482" w:firstLineChars="200"/>
        <w:rPr>
          <w:rFonts w:hint="eastAsia" w:ascii="宋体" w:hAnsi="宋体" w:eastAsia="宋体" w:cs="宋体"/>
          <w:b/>
          <w:sz w:val="24"/>
          <w:highlight w:val="none"/>
          <w:lang w:eastAsia="zh-CN"/>
        </w:rPr>
      </w:pPr>
      <w:r>
        <w:rPr>
          <w:rFonts w:hint="eastAsia" w:ascii="宋体" w:hAnsi="宋体" w:eastAsia="宋体" w:cs="宋体"/>
          <w:b/>
          <w:bCs/>
          <w:sz w:val="24"/>
          <w:highlight w:val="none"/>
        </w:rPr>
        <w:t>甲方：</w:t>
      </w:r>
      <w:r>
        <w:rPr>
          <w:rFonts w:hint="eastAsia" w:ascii="宋体" w:hAnsi="宋体" w:eastAsia="宋体" w:cs="宋体"/>
          <w:sz w:val="24"/>
          <w:highlight w:val="none"/>
          <w:u w:val="single"/>
          <w:lang w:eastAsia="zh-CN"/>
        </w:rPr>
        <w:t>陕西省肿瘤医院</w:t>
      </w:r>
    </w:p>
    <w:p w14:paraId="5E2AC1EA">
      <w:pPr>
        <w:shd w:val="clear" w:color="auto" w:fill="FFFFFF"/>
        <w:spacing w:beforeLines="100" w:afterLines="100" w:line="360" w:lineRule="auto"/>
        <w:ind w:firstLine="482" w:firstLineChars="200"/>
        <w:rPr>
          <w:rFonts w:ascii="宋体" w:hAnsi="宋体" w:eastAsia="宋体" w:cs="宋体"/>
          <w:b/>
          <w:sz w:val="24"/>
          <w:highlight w:val="none"/>
        </w:rPr>
      </w:pPr>
      <w:r>
        <w:rPr>
          <w:rFonts w:hint="eastAsia" w:ascii="宋体" w:hAnsi="宋体" w:eastAsia="宋体" w:cs="宋体"/>
          <w:b/>
          <w:bCs/>
          <w:sz w:val="24"/>
          <w:highlight w:val="none"/>
        </w:rPr>
        <w:t>乙方：</w:t>
      </w:r>
      <w:r>
        <w:rPr>
          <w:rFonts w:hint="eastAsia" w:ascii="宋体" w:hAnsi="宋体" w:eastAsia="宋体" w:cs="宋体"/>
          <w:bCs/>
          <w:sz w:val="24"/>
          <w:highlight w:val="none"/>
          <w:u w:val="single"/>
        </w:rPr>
        <w:t xml:space="preserve">              </w:t>
      </w:r>
    </w:p>
    <w:p w14:paraId="485138C8">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依据《中华人民共和国民法典》与项目行业有关的法律法规，以及</w:t>
      </w:r>
      <w:r>
        <w:rPr>
          <w:rFonts w:hint="eastAsia" w:ascii="宋体" w:hAnsi="宋体" w:eastAsia="宋体" w:cs="宋体"/>
          <w:color w:val="000000"/>
          <w:sz w:val="24"/>
          <w:highlight w:val="none"/>
          <w:u w:val="single"/>
        </w:rPr>
        <w:t xml:space="preserve">            陕西省肿瘤医院</w:t>
      </w:r>
      <w:r>
        <w:rPr>
          <w:rFonts w:hint="eastAsia" w:ascii="宋体" w:hAnsi="宋体" w:eastAsia="宋体" w:cs="宋体"/>
          <w:color w:val="000000"/>
          <w:sz w:val="24"/>
          <w:highlight w:val="none"/>
          <w:u w:val="single"/>
          <w:lang w:eastAsia="zh-CN"/>
        </w:rPr>
        <w:t>西门子64排128层CT维保服务项目</w:t>
      </w:r>
      <w:r>
        <w:rPr>
          <w:rFonts w:hint="eastAsia" w:ascii="宋体" w:hAnsi="宋体" w:eastAsia="宋体" w:cs="宋体"/>
          <w:sz w:val="24"/>
          <w:highlight w:val="none"/>
        </w:rPr>
        <w:t xml:space="preserve">（项目编号：【KRDL】K4-2503031）的《招标文件》，乙方的《投标文件》及《中标（成交）通知书》，甲、乙双方同意签订本合同。详细技术说明及其他有关合同项目的特定信息由合同附件予以说明，合同附件及本项目的《招标文件》、《投标文件》、《中标（成交）通知书》等均为本合同的组成部分。 </w:t>
      </w:r>
    </w:p>
    <w:p w14:paraId="09951591">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第一条 </w:t>
      </w:r>
      <w:r>
        <w:rPr>
          <w:rFonts w:hint="eastAsia" w:ascii="宋体" w:hAnsi="宋体" w:eastAsia="宋体" w:cs="宋体"/>
          <w:b/>
          <w:sz w:val="24"/>
          <w:highlight w:val="none"/>
        </w:rPr>
        <w:t>项目基本情况</w:t>
      </w:r>
    </w:p>
    <w:p w14:paraId="57A5C3C7">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hint="eastAsia" w:ascii="宋体" w:hAnsi="宋体" w:eastAsia="宋体" w:cs="宋体"/>
          <w:b/>
          <w:sz w:val="24"/>
          <w:highlight w:val="none"/>
          <w:u w:val="single"/>
          <w:lang w:eastAsia="zh-CN"/>
        </w:rPr>
      </w:pPr>
      <w:r>
        <w:rPr>
          <w:rFonts w:hint="eastAsia" w:ascii="宋体" w:hAnsi="宋体" w:eastAsia="宋体" w:cs="宋体"/>
          <w:b/>
          <w:sz w:val="24"/>
          <w:highlight w:val="none"/>
        </w:rPr>
        <w:t xml:space="preserve">  </w:t>
      </w:r>
      <w:r>
        <w:rPr>
          <w:rFonts w:hint="eastAsia" w:ascii="宋体" w:hAnsi="宋体" w:eastAsia="宋体" w:cs="宋体"/>
          <w:b/>
          <w:sz w:val="24"/>
          <w:highlight w:val="none"/>
          <w:lang w:val="en-US" w:eastAsia="zh-CN"/>
        </w:rPr>
        <w:t xml:space="preserve"> </w:t>
      </w:r>
      <w:r>
        <w:rPr>
          <w:rFonts w:hint="eastAsia" w:ascii="宋体" w:hAnsi="宋体" w:eastAsia="宋体" w:cs="宋体"/>
          <w:b w:val="0"/>
          <w:bCs/>
          <w:sz w:val="24"/>
          <w:highlight w:val="none"/>
          <w:lang w:val="en-US" w:eastAsia="zh-CN"/>
        </w:rPr>
        <w:t xml:space="preserve"> 陕西省肿瘤医院西门子64排128层CT维保服务项目，拟对西门子64排128层CT进行维保服务</w:t>
      </w:r>
      <w:r>
        <w:rPr>
          <w:rFonts w:hint="eastAsia" w:ascii="宋体" w:hAnsi="宋体" w:eastAsia="宋体" w:cs="宋体"/>
          <w:b w:val="0"/>
          <w:bCs/>
          <w:sz w:val="24"/>
          <w:highlight w:val="none"/>
          <w:lang w:eastAsia="zh-CN"/>
        </w:rPr>
        <w:t>。</w:t>
      </w:r>
    </w:p>
    <w:p w14:paraId="6CF0218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252" w:leftChars="228" w:hanging="773" w:hangingChars="321"/>
        <w:textAlignment w:val="auto"/>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第二条 </w:t>
      </w:r>
      <w:r>
        <w:rPr>
          <w:rFonts w:hint="eastAsia" w:ascii="宋体" w:hAnsi="宋体" w:eastAsia="宋体" w:cs="宋体"/>
          <w:b/>
          <w:sz w:val="24"/>
          <w:highlight w:val="none"/>
        </w:rPr>
        <w:t>合同期限</w:t>
      </w:r>
    </w:p>
    <w:p w14:paraId="4AABB6EE">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eastAsia="宋体" w:cs="宋体"/>
          <w:sz w:val="24"/>
          <w:highlight w:val="none"/>
          <w:u w:val="single"/>
        </w:rPr>
      </w:pPr>
      <w:r>
        <w:rPr>
          <w:rFonts w:hint="eastAsia" w:ascii="宋体" w:hAnsi="宋体" w:eastAsia="宋体" w:cs="宋体"/>
          <w:sz w:val="24"/>
          <w:highlight w:val="none"/>
        </w:rPr>
        <w:t xml:space="preserve">    维保服务期限三年（合同一年一签，每年考核一次，招标人依据考核结果决定是否续签下一年服务合同，最多续签两次）</w:t>
      </w:r>
    </w:p>
    <w:p w14:paraId="682836F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highlight w:val="none"/>
          <w:lang w:eastAsia="zh-CN"/>
        </w:rPr>
      </w:pPr>
      <w:bookmarkStart w:id="0" w:name="_Toc282696226"/>
      <w:bookmarkStart w:id="1" w:name="_Toc286993786"/>
      <w:bookmarkStart w:id="2" w:name="_Toc283019214"/>
      <w:bookmarkStart w:id="3" w:name="_Toc225654644"/>
      <w:bookmarkStart w:id="4" w:name="_Toc225244852"/>
      <w:bookmarkStart w:id="5" w:name="_Toc238984975"/>
      <w:bookmarkStart w:id="6" w:name="_Toc241833903"/>
      <w:bookmarkStart w:id="7" w:name="_Toc251768862"/>
      <w:bookmarkStart w:id="8" w:name="_Toc211911348"/>
      <w:bookmarkStart w:id="9" w:name="_Toc225670751"/>
      <w:bookmarkStart w:id="10" w:name="_Toc239568418"/>
      <w:bookmarkStart w:id="11" w:name="_Toc211854449"/>
      <w:bookmarkStart w:id="12" w:name="_Toc247334841"/>
      <w:bookmarkStart w:id="13" w:name="_Toc185395249"/>
      <w:bookmarkStart w:id="14" w:name="_Toc237145406"/>
      <w:bookmarkStart w:id="15" w:name="_Toc232492928"/>
      <w:bookmarkStart w:id="16" w:name="_Toc212019594"/>
      <w:bookmarkStart w:id="17" w:name="_Toc239233914"/>
      <w:r>
        <w:rPr>
          <w:rFonts w:hint="eastAsia" w:ascii="宋体" w:hAnsi="宋体" w:eastAsia="宋体" w:cs="宋体"/>
          <w:b/>
          <w:kern w:val="2"/>
          <w:sz w:val="24"/>
          <w:szCs w:val="24"/>
          <w:highlight w:val="none"/>
          <w:lang w:val="en-US" w:eastAsia="zh-CN" w:bidi="ar-SA"/>
        </w:rPr>
        <w:t>第三条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服务内容与质量标准</w:t>
      </w:r>
    </w:p>
    <w:p w14:paraId="2950A71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2" w:firstLineChars="200"/>
        <w:textAlignment w:val="auto"/>
        <w:rPr>
          <w:rFonts w:ascii="宋体" w:hAnsi="宋体" w:eastAsia="宋体" w:cs="宋体"/>
          <w:b/>
          <w:sz w:val="24"/>
          <w:highlight w:val="none"/>
        </w:rPr>
      </w:pPr>
      <w:r>
        <w:rPr>
          <w:rFonts w:hint="eastAsia" w:ascii="宋体" w:hAnsi="宋体" w:eastAsia="宋体" w:cs="宋体"/>
          <w:b/>
          <w:sz w:val="24"/>
          <w:highlight w:val="none"/>
          <w:lang w:eastAsia="zh-CN"/>
        </w:rPr>
        <w:t>包</w:t>
      </w:r>
      <w:r>
        <w:rPr>
          <w:rFonts w:hint="eastAsia" w:ascii="宋体" w:hAnsi="宋体" w:eastAsia="宋体" w:cs="宋体"/>
          <w:sz w:val="24"/>
          <w:highlight w:val="none"/>
          <w:lang w:eastAsia="zh-CN"/>
        </w:rPr>
        <w:t>含本项目招标文件、答疑文件及乙方的投标文件等文件的全部服务内容。</w:t>
      </w:r>
    </w:p>
    <w:p w14:paraId="5D59C4C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252" w:leftChars="228" w:hanging="773" w:hangingChars="321"/>
        <w:textAlignment w:val="auto"/>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第四条 </w:t>
      </w:r>
      <w:r>
        <w:rPr>
          <w:rFonts w:hint="eastAsia" w:ascii="宋体" w:hAnsi="宋体" w:eastAsia="宋体" w:cs="宋体"/>
          <w:b/>
          <w:sz w:val="24"/>
          <w:highlight w:val="none"/>
        </w:rPr>
        <w:t>服务费用及支付方式</w:t>
      </w:r>
    </w:p>
    <w:p w14:paraId="73F04358">
      <w:pPr>
        <w:pStyle w:val="7"/>
        <w:keepNext w:val="0"/>
        <w:keepLines w:val="0"/>
        <w:pageBreakBefore w:val="0"/>
        <w:widowControl w:val="0"/>
        <w:kinsoku/>
        <w:wordWrap/>
        <w:overflowPunct/>
        <w:topLinePunct w:val="0"/>
        <w:autoSpaceDE/>
        <w:autoSpaceDN/>
        <w:bidi w:val="0"/>
        <w:adjustRightInd w:val="0"/>
        <w:snapToGrid w:val="0"/>
        <w:spacing w:line="360" w:lineRule="auto"/>
        <w:ind w:left="480" w:leftChars="0" w:hanging="480" w:hangingChars="200"/>
        <w:textAlignment w:val="auto"/>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每半年考核合格后，达到付款条件起30日内，支付合同总金额的 50.00%。</w:t>
      </w:r>
    </w:p>
    <w:p w14:paraId="3F37C58E">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ascii="宋体" w:hAnsi="宋体" w:eastAsia="宋体" w:cs="宋体"/>
          <w:sz w:val="24"/>
          <w:highlight w:val="none"/>
        </w:rPr>
      </w:pPr>
      <w:r>
        <w:rPr>
          <w:rFonts w:hint="eastAsia" w:ascii="宋体" w:hAnsi="宋体" w:eastAsia="宋体" w:cs="宋体"/>
          <w:sz w:val="24"/>
          <w:highlight w:val="none"/>
        </w:rPr>
        <w:t>本合同所约定的支付条款将按《保障中小企业款项支付条例》的规定作出相</w:t>
      </w:r>
    </w:p>
    <w:p w14:paraId="13701541">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eastAsia="宋体" w:cs="宋体"/>
          <w:sz w:val="24"/>
          <w:highlight w:val="none"/>
          <w:u w:val="single"/>
        </w:rPr>
      </w:pPr>
      <w:r>
        <w:rPr>
          <w:rFonts w:hint="eastAsia" w:ascii="宋体" w:hAnsi="宋体" w:eastAsia="宋体" w:cs="宋体"/>
          <w:sz w:val="24"/>
          <w:highlight w:val="none"/>
        </w:rPr>
        <w:t xml:space="preserve">应调整。 </w:t>
      </w:r>
    </w:p>
    <w:p w14:paraId="2DC85B9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252" w:leftChars="228" w:hanging="773" w:hangingChars="321"/>
        <w:textAlignment w:val="auto"/>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第五条 </w:t>
      </w:r>
      <w:r>
        <w:rPr>
          <w:rFonts w:hint="eastAsia" w:ascii="宋体" w:hAnsi="宋体" w:eastAsia="宋体" w:cs="宋体"/>
          <w:b/>
          <w:sz w:val="24"/>
          <w:highlight w:val="none"/>
        </w:rPr>
        <w:t>知识产权</w:t>
      </w:r>
    </w:p>
    <w:p w14:paraId="314F6AEA">
      <w:pPr>
        <w:keepNext w:val="0"/>
        <w:keepLines w:val="0"/>
        <w:pageBreakBefore w:val="0"/>
        <w:widowControl w:val="0"/>
        <w:tabs>
          <w:tab w:val="left" w:pos="1440"/>
        </w:tabs>
        <w:kinsoku/>
        <w:wordWrap/>
        <w:overflowPunct/>
        <w:topLinePunct w:val="0"/>
        <w:autoSpaceDE/>
        <w:autoSpaceDN/>
        <w:bidi w:val="0"/>
        <w:adjustRightInd w:val="0"/>
        <w:snapToGrid w:val="0"/>
        <w:spacing w:line="360" w:lineRule="auto"/>
        <w:ind w:left="0" w:leftChars="0" w:firstLine="480" w:firstLineChars="200"/>
        <w:textAlignment w:val="auto"/>
        <w:rPr>
          <w:rFonts w:ascii="宋体" w:hAnsi="宋体" w:eastAsia="宋体" w:cs="宋体"/>
          <w:sz w:val="24"/>
          <w:highlight w:val="none"/>
        </w:rPr>
      </w:pPr>
      <w:r>
        <w:rPr>
          <w:rFonts w:hint="eastAsia" w:ascii="宋体" w:hAnsi="宋体" w:eastAsia="宋体" w:cs="宋体"/>
          <w:sz w:val="24"/>
          <w:highlight w:val="none"/>
        </w:rPr>
        <w:t>乙方应保证所提供的服务或其任何一部分均不会侵犯任何第三方的专利权、商标权或著作权。</w:t>
      </w:r>
    </w:p>
    <w:p w14:paraId="39D0B745">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第六条 </w:t>
      </w:r>
      <w:r>
        <w:rPr>
          <w:rFonts w:hint="eastAsia" w:ascii="宋体" w:hAnsi="宋体" w:eastAsia="宋体" w:cs="宋体"/>
          <w:b/>
          <w:sz w:val="24"/>
          <w:highlight w:val="none"/>
        </w:rPr>
        <w:t>无产权瑕疵条款</w:t>
      </w:r>
    </w:p>
    <w:p w14:paraId="0086DDAB">
      <w:pPr>
        <w:tabs>
          <w:tab w:val="left" w:pos="14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乙方保证所提供的服务的所有权完全属于乙方且无任何抵押、查封等产权瑕疵。如有产权瑕疵的，视为乙方违约。乙方应负担由此而产生的一切损失。</w:t>
      </w:r>
    </w:p>
    <w:p w14:paraId="32E40DF4">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第七条 </w:t>
      </w:r>
      <w:r>
        <w:rPr>
          <w:rFonts w:hint="eastAsia" w:ascii="宋体" w:hAnsi="宋体" w:eastAsia="宋体" w:cs="宋体"/>
          <w:b/>
          <w:sz w:val="24"/>
          <w:highlight w:val="none"/>
        </w:rPr>
        <w:t>履约保证金：</w:t>
      </w:r>
    </w:p>
    <w:p w14:paraId="2C062644">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第八条 </w:t>
      </w:r>
      <w:r>
        <w:rPr>
          <w:rFonts w:hint="eastAsia" w:ascii="宋体" w:hAnsi="宋体" w:eastAsia="宋体" w:cs="宋体"/>
          <w:b/>
          <w:sz w:val="24"/>
          <w:highlight w:val="none"/>
        </w:rPr>
        <w:t>甲方的权利和义务</w:t>
      </w:r>
    </w:p>
    <w:p w14:paraId="7E9ABA7C">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12EAAABE">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2.甲方有权依据双方签订的考评办法对乙方提供的服务进行定期考评。当考评结果未达到标准时，有权依据考评办法约定的数额扣除履约保证金。</w:t>
      </w:r>
    </w:p>
    <w:p w14:paraId="53CD330B">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3.负责检查监督乙方管理工作的实施及制度的执行情况。</w:t>
      </w:r>
    </w:p>
    <w:p w14:paraId="21557940">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4.根据本合同规定，按时向乙方支付应付服务费用。</w:t>
      </w:r>
    </w:p>
    <w:p w14:paraId="262B8A32">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5.国家法律、法规所规定由甲方承担的其它责任。</w:t>
      </w:r>
    </w:p>
    <w:p w14:paraId="1AC5CD98">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第九条 </w:t>
      </w:r>
      <w:r>
        <w:rPr>
          <w:rFonts w:hint="eastAsia" w:ascii="宋体" w:hAnsi="宋体" w:eastAsia="宋体" w:cs="宋体"/>
          <w:b/>
          <w:sz w:val="24"/>
          <w:highlight w:val="none"/>
        </w:rPr>
        <w:t>乙方的权利和义务</w:t>
      </w:r>
    </w:p>
    <w:p w14:paraId="40C54DC3">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1.对本合同规定的委托服务范围内的项目享有管理权及服务义务。</w:t>
      </w:r>
    </w:p>
    <w:p w14:paraId="60DAA690">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2.根据本合同的规定向甲方收取相关服务费用，并有权在本项目管理范围内管理及合理使用。</w:t>
      </w:r>
    </w:p>
    <w:p w14:paraId="6FD8F03C">
      <w:pPr>
        <w:adjustRightInd w:val="0"/>
        <w:spacing w:line="360" w:lineRule="auto"/>
        <w:ind w:firstLine="480" w:firstLineChars="200"/>
        <w:jc w:val="left"/>
        <w:textAlignment w:val="baseline"/>
        <w:rPr>
          <w:rFonts w:ascii="宋体" w:hAnsi="宋体" w:eastAsia="宋体" w:cs="宋体"/>
          <w:sz w:val="24"/>
          <w:highlight w:val="none"/>
        </w:rPr>
      </w:pPr>
      <w:r>
        <w:rPr>
          <w:rFonts w:hint="eastAsia" w:ascii="宋体" w:hAnsi="宋体" w:eastAsia="宋体" w:cs="宋体"/>
          <w:sz w:val="24"/>
          <w:highlight w:val="none"/>
        </w:rPr>
        <w:t>3.及时向甲方通告本项目服务范围内有关服务的重大事项，及时配合处理投诉。</w:t>
      </w:r>
    </w:p>
    <w:p w14:paraId="5365748A">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sz w:val="24"/>
          <w:highlight w:val="none"/>
        </w:rPr>
        <w:t>4.</w:t>
      </w:r>
      <w:r>
        <w:rPr>
          <w:rFonts w:hint="eastAsia" w:ascii="宋体" w:hAnsi="宋体" w:eastAsia="宋体" w:cs="宋体"/>
          <w:bCs/>
          <w:sz w:val="24"/>
          <w:highlight w:val="none"/>
        </w:rPr>
        <w:t>接受项目行业管理部门及政府有关部门的指导，接受甲方的监督。</w:t>
      </w:r>
    </w:p>
    <w:p w14:paraId="71FC803C">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5.国家法律、法规所规定由乙方承担的其它责任。</w:t>
      </w:r>
    </w:p>
    <w:p w14:paraId="5A72AE35">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第十条 </w:t>
      </w:r>
      <w:r>
        <w:rPr>
          <w:rFonts w:hint="eastAsia" w:ascii="宋体" w:hAnsi="宋体" w:eastAsia="宋体" w:cs="宋体"/>
          <w:b/>
          <w:sz w:val="24"/>
          <w:highlight w:val="none"/>
        </w:rPr>
        <w:t>违约责任</w:t>
      </w:r>
    </w:p>
    <w:p w14:paraId="6E01A311">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1.甲乙双方必须遵守本合同并执行合同中的各项规定，保证本合同的正常履行。</w:t>
      </w:r>
    </w:p>
    <w:p w14:paraId="3BD049BA">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ACE6A94">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第十一条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不可抗力事件处理</w:t>
      </w:r>
    </w:p>
    <w:p w14:paraId="2737DF7C">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1.在合同有效期内，任何一方因不可抗力事件导致不能履行合同，则合同履行期可延长，其延长期与不可抗力影响期相同。</w:t>
      </w:r>
    </w:p>
    <w:p w14:paraId="06ACBEE4">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2.不可抗力事件发生后，应立即通知对方，并寄送有关权威机构出具的证明。</w:t>
      </w:r>
    </w:p>
    <w:p w14:paraId="1D4363B7">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3.不可抗力事件延续</w:t>
      </w:r>
      <w:r>
        <w:rPr>
          <w:rFonts w:hint="eastAsia" w:ascii="宋体" w:hAnsi="宋体" w:eastAsia="宋体" w:cs="宋体"/>
          <w:color w:val="000000"/>
          <w:sz w:val="24"/>
          <w:highlight w:val="none"/>
          <w:u w:val="single"/>
        </w:rPr>
        <w:t xml:space="preserve">    </w:t>
      </w:r>
      <w:r>
        <w:rPr>
          <w:rFonts w:hint="eastAsia" w:ascii="宋体" w:hAnsi="宋体" w:eastAsia="宋体" w:cs="宋体"/>
          <w:sz w:val="24"/>
          <w:highlight w:val="none"/>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0B69E21D">
      <w:pPr>
        <w:numPr>
          <w:ilvl w:val="0"/>
          <w:numId w:val="0"/>
        </w:numPr>
        <w:spacing w:line="360" w:lineRule="auto"/>
        <w:ind w:left="1521" w:leftChars="0" w:hanging="1095" w:firstLineChars="0"/>
        <w:rPr>
          <w:rFonts w:ascii="宋体" w:hAnsi="宋体" w:eastAsia="宋体" w:cs="宋体"/>
          <w:b/>
          <w:sz w:val="24"/>
          <w:highlight w:val="none"/>
        </w:rPr>
      </w:pPr>
      <w:bookmarkStart w:id="18" w:name="_Toc239568423"/>
      <w:bookmarkStart w:id="19" w:name="_Toc286993792"/>
      <w:bookmarkStart w:id="20" w:name="_Toc225654649"/>
      <w:bookmarkStart w:id="21" w:name="_Toc211854454"/>
      <w:bookmarkStart w:id="22" w:name="_Toc241833908"/>
      <w:bookmarkStart w:id="23" w:name="_Toc212019599"/>
      <w:bookmarkStart w:id="24" w:name="_Toc185395254"/>
      <w:bookmarkStart w:id="25" w:name="_Toc251768867"/>
      <w:bookmarkStart w:id="26" w:name="_Toc225670756"/>
      <w:bookmarkStart w:id="27" w:name="_Toc237145411"/>
      <w:bookmarkStart w:id="28" w:name="_Toc225244857"/>
      <w:bookmarkStart w:id="29" w:name="_Toc247334846"/>
      <w:bookmarkStart w:id="30" w:name="_Toc239233919"/>
      <w:bookmarkStart w:id="31" w:name="_Toc238984980"/>
      <w:bookmarkStart w:id="32" w:name="_Toc211911353"/>
      <w:bookmarkStart w:id="33" w:name="_Toc232492933"/>
      <w:r>
        <w:rPr>
          <w:rFonts w:hint="eastAsia" w:ascii="宋体" w:hAnsi="宋体" w:eastAsia="宋体" w:cs="宋体"/>
          <w:b/>
          <w:kern w:val="2"/>
          <w:sz w:val="24"/>
          <w:szCs w:val="24"/>
          <w:highlight w:val="none"/>
          <w:lang w:val="en-US" w:eastAsia="zh-CN" w:bidi="ar-SA"/>
        </w:rPr>
        <w:t>第十二条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C2C502E">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1.在执行本合同中发生的或与本合同有关的争端，双方应通过友好协商解决，经协商在</w:t>
      </w:r>
      <w:r>
        <w:rPr>
          <w:rFonts w:hint="eastAsia" w:ascii="宋体" w:hAnsi="宋体" w:eastAsia="宋体" w:cs="宋体"/>
          <w:color w:val="000000"/>
          <w:sz w:val="24"/>
          <w:highlight w:val="none"/>
          <w:u w:val="single"/>
        </w:rPr>
        <w:t xml:space="preserve">   </w:t>
      </w:r>
      <w:r>
        <w:rPr>
          <w:rFonts w:hint="eastAsia" w:ascii="宋体" w:hAnsi="宋体" w:eastAsia="宋体" w:cs="宋体"/>
          <w:sz w:val="24"/>
          <w:highlight w:val="none"/>
        </w:rPr>
        <w:t>天内不能达成协议时，应提交</w:t>
      </w:r>
      <w:r>
        <w:rPr>
          <w:rFonts w:hint="eastAsia" w:ascii="宋体" w:hAnsi="宋体" w:eastAsia="宋体" w:cs="宋体"/>
          <w:sz w:val="24"/>
          <w:highlight w:val="none"/>
          <w:u w:val="single"/>
        </w:rPr>
        <w:t xml:space="preserve">         仲裁委员会</w:t>
      </w:r>
      <w:r>
        <w:rPr>
          <w:rFonts w:hint="eastAsia" w:ascii="宋体" w:hAnsi="宋体" w:eastAsia="宋体" w:cs="宋体"/>
          <w:sz w:val="24"/>
          <w:highlight w:val="none"/>
        </w:rPr>
        <w:t>予以进行仲裁。</w:t>
      </w:r>
    </w:p>
    <w:p w14:paraId="1FE6A502">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2.仲裁裁决应为最终决定，并对双方具有约束力。</w:t>
      </w:r>
    </w:p>
    <w:p w14:paraId="788A3249">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3.除另有裁决外，仲裁费应由败诉方负担。 </w:t>
      </w:r>
    </w:p>
    <w:p w14:paraId="277EC33D">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4.在仲裁期间，除正在进行仲裁部分外，合同其他部分继续执行。  </w:t>
      </w:r>
    </w:p>
    <w:p w14:paraId="1644A9A3">
      <w:pPr>
        <w:numPr>
          <w:ilvl w:val="0"/>
          <w:numId w:val="0"/>
        </w:numPr>
        <w:spacing w:line="360" w:lineRule="auto"/>
        <w:ind w:left="1521" w:leftChars="0" w:hanging="1095" w:firstLineChars="0"/>
        <w:rPr>
          <w:rFonts w:ascii="宋体" w:hAnsi="宋体" w:eastAsia="宋体" w:cs="宋体"/>
          <w:b/>
          <w:sz w:val="24"/>
          <w:highlight w:val="none"/>
        </w:rPr>
      </w:pPr>
      <w:bookmarkStart w:id="34" w:name="_Toc232492934"/>
      <w:bookmarkStart w:id="35" w:name="_Toc238984981"/>
      <w:bookmarkStart w:id="36" w:name="_Toc283019219"/>
      <w:bookmarkStart w:id="37" w:name="_Toc225244858"/>
      <w:bookmarkStart w:id="38" w:name="_Toc225654650"/>
      <w:bookmarkStart w:id="39" w:name="_Toc239568424"/>
      <w:bookmarkStart w:id="40" w:name="_Toc185395255"/>
      <w:bookmarkStart w:id="41" w:name="_Toc282696231"/>
      <w:bookmarkStart w:id="42" w:name="_Toc286993793"/>
      <w:bookmarkStart w:id="43" w:name="_Toc237145412"/>
      <w:bookmarkStart w:id="44" w:name="_Toc239233920"/>
      <w:bookmarkStart w:id="45" w:name="_Toc225670757"/>
      <w:bookmarkStart w:id="46" w:name="_Toc211911354"/>
      <w:bookmarkStart w:id="47" w:name="_Toc212019600"/>
      <w:bookmarkStart w:id="48" w:name="_Toc241833909"/>
      <w:bookmarkStart w:id="49" w:name="_Toc247334847"/>
      <w:bookmarkStart w:id="50" w:name="_Toc211854455"/>
      <w:bookmarkStart w:id="51" w:name="_Toc251768868"/>
      <w:r>
        <w:rPr>
          <w:rFonts w:hint="eastAsia" w:ascii="宋体" w:hAnsi="宋体" w:eastAsia="宋体" w:cs="宋体"/>
          <w:b/>
          <w:kern w:val="2"/>
          <w:sz w:val="24"/>
          <w:szCs w:val="24"/>
          <w:highlight w:val="none"/>
          <w:lang w:val="en-US" w:eastAsia="zh-CN" w:bidi="ar-SA"/>
        </w:rPr>
        <w:t>第十三条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sz w:val="24"/>
          <w:highlight w:val="none"/>
        </w:rPr>
        <w:t>生效及其他</w:t>
      </w:r>
    </w:p>
    <w:p w14:paraId="2E37B307">
      <w:pPr>
        <w:pStyle w:val="8"/>
        <w:spacing w:line="360" w:lineRule="auto"/>
        <w:ind w:firstLine="480"/>
        <w:rPr>
          <w:rFonts w:ascii="宋体" w:hAnsi="宋体" w:eastAsia="宋体" w:cs="宋体"/>
          <w:highlight w:val="none"/>
        </w:rPr>
      </w:pPr>
      <w:r>
        <w:rPr>
          <w:rFonts w:hint="eastAsia" w:ascii="宋体" w:hAnsi="宋体" w:eastAsia="宋体" w:cs="宋体"/>
          <w:highlight w:val="none"/>
        </w:rPr>
        <w:t>1.合同经双方法定代表人或授权委托代理人签字并加盖单位公章后生效。</w:t>
      </w:r>
    </w:p>
    <w:p w14:paraId="0F035A06">
      <w:pPr>
        <w:pStyle w:val="8"/>
        <w:spacing w:line="360" w:lineRule="auto"/>
        <w:ind w:firstLine="480"/>
        <w:rPr>
          <w:rFonts w:ascii="宋体" w:hAnsi="宋体" w:eastAsia="宋体" w:cs="宋体"/>
          <w:highlight w:val="none"/>
        </w:rPr>
      </w:pPr>
      <w:r>
        <w:rPr>
          <w:rFonts w:hint="eastAsia" w:ascii="宋体" w:hAnsi="宋体" w:eastAsia="宋体" w:cs="宋体"/>
          <w:highlight w:val="none"/>
        </w:rPr>
        <w:t>2.合同执行中涉及资金和采购内容修改或补充的，须经甲方监督部门审批，并签书面补充协议报甲方相关行政部门备案，方可作为主合同不可分割的一部分。</w:t>
      </w:r>
    </w:p>
    <w:p w14:paraId="1B3DAB68">
      <w:pPr>
        <w:pStyle w:val="8"/>
        <w:spacing w:line="360" w:lineRule="auto"/>
        <w:ind w:firstLine="480"/>
        <w:rPr>
          <w:rFonts w:ascii="宋体" w:hAnsi="宋体" w:eastAsia="宋体" w:cs="宋体"/>
          <w:highlight w:val="none"/>
        </w:rPr>
      </w:pPr>
      <w:r>
        <w:rPr>
          <w:rFonts w:hint="eastAsia" w:ascii="宋体" w:hAnsi="宋体" w:eastAsia="宋体" w:cs="宋体"/>
          <w:highlight w:val="none"/>
        </w:rPr>
        <w:t>3.本合同一式</w:t>
      </w:r>
      <w:r>
        <w:rPr>
          <w:rFonts w:hint="eastAsia" w:ascii="宋体" w:hAnsi="宋体" w:eastAsia="宋体" w:cs="宋体"/>
          <w:color w:val="000000"/>
          <w:highlight w:val="none"/>
        </w:rPr>
        <w:t>陆</w:t>
      </w:r>
      <w:r>
        <w:rPr>
          <w:rFonts w:hint="eastAsia" w:ascii="宋体" w:hAnsi="宋体" w:eastAsia="宋体" w:cs="宋体"/>
          <w:highlight w:val="none"/>
        </w:rPr>
        <w:t>份，自双方签章之日起起效。甲方</w:t>
      </w:r>
      <w:r>
        <w:rPr>
          <w:rFonts w:hint="eastAsia" w:ascii="宋体" w:hAnsi="宋体" w:eastAsia="宋体" w:cs="宋体"/>
          <w:highlight w:val="none"/>
          <w:u w:val="single"/>
        </w:rPr>
        <w:t xml:space="preserve">  </w:t>
      </w:r>
      <w:r>
        <w:rPr>
          <w:rFonts w:hint="eastAsia" w:ascii="宋体" w:hAnsi="宋体" w:eastAsia="宋体" w:cs="宋体"/>
          <w:highlight w:val="none"/>
        </w:rPr>
        <w:t>份，乙方</w:t>
      </w:r>
      <w:r>
        <w:rPr>
          <w:rFonts w:hint="eastAsia" w:ascii="宋体" w:hAnsi="宋体" w:eastAsia="宋体" w:cs="宋体"/>
          <w:highlight w:val="none"/>
          <w:u w:val="single"/>
        </w:rPr>
        <w:t xml:space="preserve">  </w:t>
      </w:r>
      <w:r>
        <w:rPr>
          <w:rFonts w:hint="eastAsia" w:ascii="宋体" w:hAnsi="宋体" w:eastAsia="宋体" w:cs="宋体"/>
          <w:highlight w:val="none"/>
        </w:rPr>
        <w:t>份，采购代理机构</w:t>
      </w:r>
      <w:r>
        <w:rPr>
          <w:rFonts w:hint="eastAsia" w:ascii="宋体" w:hAnsi="宋体" w:eastAsia="宋体" w:cs="宋体"/>
          <w:highlight w:val="none"/>
          <w:u w:val="single"/>
        </w:rPr>
        <w:t xml:space="preserve">  </w:t>
      </w:r>
      <w:r>
        <w:rPr>
          <w:rFonts w:hint="eastAsia" w:ascii="宋体" w:hAnsi="宋体" w:eastAsia="宋体" w:cs="宋体"/>
          <w:highlight w:val="none"/>
        </w:rPr>
        <w:t>份，具有同等法律效力。</w:t>
      </w:r>
    </w:p>
    <w:p w14:paraId="241EB0B1">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第十四条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附件</w:t>
      </w:r>
    </w:p>
    <w:p w14:paraId="735899DA">
      <w:pPr>
        <w:pStyle w:val="8"/>
        <w:spacing w:line="360" w:lineRule="auto"/>
        <w:ind w:firstLine="480"/>
        <w:rPr>
          <w:rFonts w:ascii="宋体" w:hAnsi="宋体" w:eastAsia="宋体" w:cs="宋体"/>
          <w:highlight w:val="none"/>
        </w:rPr>
      </w:pPr>
      <w:r>
        <w:rPr>
          <w:rFonts w:hint="eastAsia" w:ascii="宋体" w:hAnsi="宋体" w:eastAsia="宋体" w:cs="宋体"/>
          <w:highlight w:val="none"/>
        </w:rPr>
        <w:t>1.</w:t>
      </w:r>
      <w:r>
        <w:rPr>
          <w:rFonts w:hint="eastAsia" w:ascii="宋体" w:hAnsi="宋体" w:cs="宋体"/>
          <w:highlight w:val="none"/>
        </w:rPr>
        <w:t>招标文件</w:t>
      </w:r>
    </w:p>
    <w:p w14:paraId="348638D1">
      <w:pPr>
        <w:pStyle w:val="8"/>
        <w:spacing w:line="360" w:lineRule="auto"/>
        <w:ind w:firstLine="480"/>
        <w:rPr>
          <w:rFonts w:ascii="宋体" w:hAnsi="宋体" w:eastAsia="宋体" w:cs="宋体"/>
          <w:highlight w:val="none"/>
        </w:rPr>
      </w:pPr>
      <w:r>
        <w:rPr>
          <w:rFonts w:hint="eastAsia" w:ascii="宋体" w:hAnsi="宋体" w:eastAsia="宋体" w:cs="宋体"/>
          <w:highlight w:val="none"/>
        </w:rPr>
        <w:t>2.澄清（或答疑）文件</w:t>
      </w:r>
    </w:p>
    <w:p w14:paraId="65702D76">
      <w:pPr>
        <w:pStyle w:val="8"/>
        <w:spacing w:line="360" w:lineRule="auto"/>
        <w:ind w:firstLine="480"/>
        <w:rPr>
          <w:rFonts w:ascii="宋体" w:hAnsi="宋体" w:eastAsia="宋体" w:cs="宋体"/>
          <w:highlight w:val="none"/>
        </w:rPr>
      </w:pPr>
      <w:r>
        <w:rPr>
          <w:rFonts w:hint="eastAsia" w:ascii="宋体" w:hAnsi="宋体" w:eastAsia="宋体" w:cs="宋体"/>
          <w:highlight w:val="none"/>
        </w:rPr>
        <w:t>3.投标文件</w:t>
      </w:r>
    </w:p>
    <w:p w14:paraId="01702641">
      <w:pPr>
        <w:pStyle w:val="8"/>
        <w:spacing w:line="360" w:lineRule="auto"/>
        <w:ind w:firstLine="480"/>
        <w:rPr>
          <w:rFonts w:ascii="宋体" w:hAnsi="宋体" w:eastAsia="宋体" w:cs="宋体"/>
          <w:highlight w:val="none"/>
        </w:rPr>
      </w:pPr>
      <w:r>
        <w:rPr>
          <w:rFonts w:hint="eastAsia" w:ascii="宋体" w:hAnsi="宋体" w:eastAsia="宋体" w:cs="宋体"/>
          <w:highlight w:val="none"/>
        </w:rPr>
        <w:t>4.中标（成交）通知书</w:t>
      </w:r>
    </w:p>
    <w:p w14:paraId="4C4CE5DF">
      <w:pPr>
        <w:pStyle w:val="8"/>
        <w:spacing w:line="360" w:lineRule="auto"/>
        <w:ind w:firstLine="480"/>
        <w:rPr>
          <w:rFonts w:ascii="宋体" w:hAnsi="宋体" w:eastAsia="宋体" w:cs="宋体"/>
          <w:highlight w:val="none"/>
        </w:rPr>
      </w:pPr>
      <w:r>
        <w:rPr>
          <w:rFonts w:hint="eastAsia" w:ascii="宋体" w:hAnsi="宋体" w:eastAsia="宋体" w:cs="宋体"/>
          <w:highlight w:val="none"/>
        </w:rPr>
        <w:t>5.其他</w:t>
      </w:r>
    </w:p>
    <w:p w14:paraId="1B00BA40">
      <w:pPr>
        <w:ind w:firstLine="480" w:firstLineChars="200"/>
        <w:rPr>
          <w:rFonts w:ascii="宋体" w:hAnsi="宋体" w:eastAsia="宋体" w:cs="宋体"/>
          <w:sz w:val="24"/>
          <w:highlight w:val="none"/>
        </w:rPr>
      </w:pPr>
      <w:r>
        <w:rPr>
          <w:rFonts w:hint="eastAsia" w:ascii="宋体" w:hAnsi="宋体" w:eastAsia="宋体" w:cs="宋体"/>
          <w:sz w:val="24"/>
          <w:highlight w:val="none"/>
        </w:rPr>
        <w:t>（以下无正文）</w:t>
      </w:r>
      <w:r>
        <w:rPr>
          <w:rFonts w:hint="eastAsia" w:ascii="宋体" w:hAnsi="宋体" w:eastAsia="宋体" w:cs="宋体"/>
          <w:sz w:val="24"/>
          <w:highlight w:val="none"/>
        </w:rPr>
        <w:br w:type="page"/>
      </w:r>
    </w:p>
    <w:p w14:paraId="654A5C0D">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甲方：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（盖章）   </w:t>
      </w:r>
      <w:r>
        <w:rPr>
          <w:rFonts w:hint="eastAsia" w:ascii="宋体" w:hAnsi="宋体" w:eastAsia="宋体" w:cs="宋体"/>
          <w:sz w:val="24"/>
          <w:highlight w:val="none"/>
        </w:rPr>
        <w:tab/>
      </w:r>
      <w:r>
        <w:rPr>
          <w:rFonts w:hint="eastAsia" w:ascii="宋体" w:hAnsi="宋体" w:eastAsia="宋体" w:cs="宋体"/>
          <w:sz w:val="24"/>
          <w:highlight w:val="none"/>
        </w:rPr>
        <w:tab/>
      </w:r>
      <w:r>
        <w:rPr>
          <w:rFonts w:hint="eastAsia" w:ascii="宋体" w:hAnsi="宋体" w:eastAsia="宋体" w:cs="宋体"/>
          <w:sz w:val="24"/>
          <w:highlight w:val="none"/>
        </w:rPr>
        <w:tab/>
      </w:r>
      <w:r>
        <w:rPr>
          <w:rFonts w:hint="eastAsia" w:ascii="宋体" w:hAnsi="宋体" w:eastAsia="宋体" w:cs="宋体"/>
          <w:sz w:val="24"/>
          <w:highlight w:val="none"/>
        </w:rPr>
        <w:t xml:space="preserve"> 乙方：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（盖章） </w:t>
      </w:r>
    </w:p>
    <w:p w14:paraId="2EE9E2C6">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法定代表人（授权代表）：           法定代表人（授权代表）：</w:t>
      </w:r>
    </w:p>
    <w:p w14:paraId="748EEDEF">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地    址：                         地    址：</w:t>
      </w:r>
    </w:p>
    <w:p w14:paraId="4DE3C5F9">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开户银行：                         开户银行：</w:t>
      </w:r>
    </w:p>
    <w:p w14:paraId="153D8033">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账号：                             账号：</w:t>
      </w:r>
    </w:p>
    <w:p w14:paraId="06169D23">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电    话：                         电    话：</w:t>
      </w:r>
    </w:p>
    <w:p w14:paraId="0AB7813F">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传    真：                         传    真：</w:t>
      </w:r>
    </w:p>
    <w:p w14:paraId="520894CE">
      <w:pPr>
        <w:pStyle w:val="3"/>
        <w:spacing w:line="360" w:lineRule="auto"/>
        <w:jc w:val="center"/>
        <w:rPr>
          <w:rFonts w:hAnsi="宋体" w:eastAsia="宋体" w:cs="宋体"/>
          <w:sz w:val="24"/>
          <w:highlight w:val="none"/>
        </w:rPr>
      </w:pPr>
    </w:p>
    <w:p w14:paraId="28E54423">
      <w:pPr>
        <w:pStyle w:val="3"/>
        <w:spacing w:line="360" w:lineRule="auto"/>
        <w:jc w:val="center"/>
        <w:rPr>
          <w:rFonts w:hAnsi="宋体" w:eastAsia="宋体" w:cs="宋体"/>
          <w:b/>
          <w:bCs/>
          <w:sz w:val="24"/>
          <w:highlight w:val="none"/>
        </w:rPr>
      </w:pPr>
      <w:r>
        <w:rPr>
          <w:rFonts w:hint="eastAsia" w:hAnsi="宋体" w:eastAsia="宋体" w:cs="宋体"/>
          <w:sz w:val="24"/>
          <w:highlight w:val="none"/>
        </w:rPr>
        <w:t>签约日期：</w:t>
      </w:r>
      <w:r>
        <w:rPr>
          <w:rFonts w:hint="eastAsia" w:hAnsi="宋体" w:eastAsia="宋体" w:cs="宋体"/>
          <w:color w:val="000000"/>
          <w:sz w:val="24"/>
          <w:highlight w:val="none"/>
        </w:rPr>
        <w:t xml:space="preserve">    </w:t>
      </w:r>
      <w:r>
        <w:rPr>
          <w:rFonts w:hint="eastAsia" w:hAnsi="宋体" w:eastAsia="宋体" w:cs="宋体"/>
          <w:sz w:val="24"/>
          <w:highlight w:val="none"/>
        </w:rPr>
        <w:t>年</w:t>
      </w:r>
      <w:r>
        <w:rPr>
          <w:rFonts w:hint="eastAsia" w:hAnsi="宋体" w:eastAsia="宋体" w:cs="宋体"/>
          <w:color w:val="000000"/>
          <w:sz w:val="24"/>
          <w:highlight w:val="none"/>
        </w:rPr>
        <w:t xml:space="preserve">   </w:t>
      </w:r>
      <w:r>
        <w:rPr>
          <w:rFonts w:hint="eastAsia" w:hAnsi="宋体" w:eastAsia="宋体" w:cs="宋体"/>
          <w:sz w:val="24"/>
          <w:highlight w:val="none"/>
        </w:rPr>
        <w:t>月</w:t>
      </w:r>
      <w:r>
        <w:rPr>
          <w:rFonts w:hint="eastAsia" w:hAnsi="宋体" w:eastAsia="宋体" w:cs="宋体"/>
          <w:color w:val="000000"/>
          <w:sz w:val="24"/>
          <w:highlight w:val="none"/>
        </w:rPr>
        <w:t xml:space="preserve">    </w:t>
      </w:r>
      <w:r>
        <w:rPr>
          <w:rFonts w:hint="eastAsia" w:hAnsi="宋体" w:eastAsia="宋体" w:cs="宋体"/>
          <w:sz w:val="24"/>
          <w:highlight w:val="none"/>
        </w:rPr>
        <w:t xml:space="preserve">日 </w:t>
      </w:r>
      <w:r>
        <w:rPr>
          <w:rFonts w:hint="eastAsia" w:hAnsi="宋体" w:eastAsia="宋体" w:cs="宋体"/>
          <w:sz w:val="24"/>
          <w:highlight w:val="none"/>
        </w:rPr>
        <w:tab/>
      </w:r>
      <w:r>
        <w:rPr>
          <w:rFonts w:hint="eastAsia" w:hAnsi="宋体" w:eastAsia="宋体" w:cs="宋体"/>
          <w:sz w:val="24"/>
          <w:highlight w:val="none"/>
        </w:rPr>
        <w:tab/>
      </w:r>
      <w:r>
        <w:rPr>
          <w:rFonts w:hint="eastAsia" w:hAnsi="宋体" w:eastAsia="宋体" w:cs="宋体"/>
          <w:sz w:val="24"/>
          <w:highlight w:val="none"/>
        </w:rPr>
        <w:t>签约日期：</w:t>
      </w:r>
      <w:r>
        <w:rPr>
          <w:rFonts w:hint="eastAsia" w:hAnsi="宋体" w:eastAsia="宋体" w:cs="宋体"/>
          <w:color w:val="000000"/>
          <w:sz w:val="24"/>
          <w:highlight w:val="none"/>
        </w:rPr>
        <w:t xml:space="preserve">    </w:t>
      </w:r>
      <w:r>
        <w:rPr>
          <w:rFonts w:hint="eastAsia" w:hAnsi="宋体" w:eastAsia="宋体" w:cs="宋体"/>
          <w:sz w:val="24"/>
          <w:highlight w:val="none"/>
        </w:rPr>
        <w:t>年</w:t>
      </w:r>
      <w:r>
        <w:rPr>
          <w:rFonts w:hint="eastAsia" w:hAnsi="宋体" w:eastAsia="宋体" w:cs="宋体"/>
          <w:color w:val="000000"/>
          <w:sz w:val="24"/>
          <w:highlight w:val="none"/>
        </w:rPr>
        <w:t xml:space="preserve">   </w:t>
      </w:r>
      <w:r>
        <w:rPr>
          <w:rFonts w:hint="eastAsia" w:hAnsi="宋体" w:eastAsia="宋体" w:cs="宋体"/>
          <w:sz w:val="24"/>
          <w:highlight w:val="none"/>
        </w:rPr>
        <w:t>月</w:t>
      </w:r>
      <w:r>
        <w:rPr>
          <w:rFonts w:hint="eastAsia" w:hAnsi="宋体" w:eastAsia="宋体" w:cs="宋体"/>
          <w:color w:val="000000"/>
          <w:sz w:val="24"/>
          <w:highlight w:val="none"/>
        </w:rPr>
        <w:t xml:space="preserve">    </w:t>
      </w:r>
      <w:r>
        <w:rPr>
          <w:rFonts w:hint="eastAsia" w:hAnsi="宋体" w:eastAsia="宋体" w:cs="宋体"/>
          <w:sz w:val="24"/>
          <w:highlight w:val="none"/>
        </w:rPr>
        <w:t xml:space="preserve">日 </w:t>
      </w:r>
    </w:p>
    <w:p w14:paraId="4CE5DC4E">
      <w:pPr>
        <w:spacing w:line="360" w:lineRule="auto"/>
        <w:rPr>
          <w:rFonts w:ascii="宋体" w:hAnsi="宋体" w:eastAsia="宋体" w:cs="宋体"/>
          <w:bCs/>
          <w:szCs w:val="44"/>
          <w:highlight w:val="none"/>
        </w:rPr>
      </w:pPr>
      <w:r>
        <w:rPr>
          <w:rFonts w:hint="eastAsia" w:ascii="宋体" w:hAnsi="宋体" w:eastAsia="宋体" w:cs="宋体"/>
          <w:b/>
          <w:sz w:val="24"/>
          <w:highlight w:val="none"/>
        </w:rPr>
        <w:t xml:space="preserve"> </w:t>
      </w:r>
    </w:p>
    <w:p w14:paraId="30C625A7">
      <w:pPr>
        <w:pStyle w:val="2"/>
        <w:ind w:firstLine="480" w:firstLineChars="200"/>
        <w:rPr>
          <w:rFonts w:ascii="宋体" w:hAnsi="宋体" w:eastAsia="宋体" w:cs="宋体"/>
          <w:sz w:val="24"/>
          <w:szCs w:val="24"/>
          <w:highlight w:val="none"/>
          <w:u w:val="single"/>
        </w:rPr>
      </w:pPr>
      <w:bookmarkStart w:id="52" w:name="_Toc22835"/>
      <w:bookmarkStart w:id="53" w:name="_Toc25031"/>
      <w:r>
        <w:rPr>
          <w:rFonts w:hint="eastAsia" w:ascii="宋体" w:hAnsi="宋体" w:eastAsia="宋体" w:cs="宋体"/>
          <w:sz w:val="24"/>
          <w:szCs w:val="24"/>
          <w:highlight w:val="none"/>
        </w:rPr>
        <w:t>签订地点：</w:t>
      </w:r>
      <w:bookmarkEnd w:id="52"/>
      <w:bookmarkEnd w:id="53"/>
      <w:r>
        <w:rPr>
          <w:rFonts w:hint="eastAsia" w:ascii="宋体" w:hAnsi="宋体" w:eastAsia="宋体" w:cs="宋体"/>
          <w:sz w:val="24"/>
          <w:szCs w:val="24"/>
          <w:highlight w:val="none"/>
          <w:u w:val="single"/>
        </w:rPr>
        <w:t xml:space="preserve">                       </w:t>
      </w:r>
    </w:p>
    <w:p w14:paraId="372AB594">
      <w:pPr>
        <w:pStyle w:val="9"/>
        <w:adjustRightInd w:val="0"/>
        <w:snapToGrid w:val="0"/>
        <w:spacing w:line="360" w:lineRule="auto"/>
        <w:rPr>
          <w:rFonts w:hint="default" w:ascii="宋体" w:hAnsi="宋体" w:eastAsia="宋体" w:cs="宋体"/>
          <w:sz w:val="24"/>
          <w:szCs w:val="24"/>
          <w:highlight w:val="none"/>
        </w:rPr>
      </w:pPr>
    </w:p>
    <w:p w14:paraId="443E5637"/>
    <w:p w14:paraId="09ACFC30">
      <w:bookmarkStart w:id="54" w:name="_GoBack"/>
      <w:bookmarkEnd w:id="54"/>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A3D3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D44D874">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path/>
              <v:fill on="f" focussize="0,0"/>
              <v:stroke on="f" weight="0.5pt"/>
              <v:imagedata o:title=""/>
              <o:lock v:ext="edit" aspectratio="f"/>
              <v:textbox inset="0mm,0mm,0mm,0mm" style="mso-fit-shape-to-text:t;">
                <w:txbxContent>
                  <w:p w14:paraId="6D44D874">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4A2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keepNext/>
      <w:keepLines/>
      <w:spacing w:before="120" w:after="120" w:line="360" w:lineRule="auto"/>
      <w:outlineLvl w:val="0"/>
    </w:pPr>
    <w:rPr>
      <w:rFonts w:eastAsia="黑体"/>
      <w:bCs/>
      <w:kern w:val="44"/>
      <w:sz w:val="32"/>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HTML 预设格式1"/>
    <w:basedOn w:val="1"/>
    <w:qFormat/>
    <w:uiPriority w:val="0"/>
    <w:rPr>
      <w:rFonts w:ascii="Courier New" w:hAnsi="Courier New"/>
      <w:sz w:val="20"/>
    </w:rPr>
  </w:style>
  <w:style w:type="paragraph" w:styleId="8">
    <w:name w:val="List Paragraph"/>
    <w:basedOn w:val="1"/>
    <w:qFormat/>
    <w:uiPriority w:val="34"/>
    <w:pPr>
      <w:ind w:firstLine="420" w:firstLineChars="200"/>
    </w:pPr>
    <w:rPr>
      <w:sz w:val="24"/>
    </w:rPr>
  </w:style>
  <w:style w:type="paragraph" w:customStyle="1" w:styleId="9">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2025-04-10T07:09:01Z</dcterms:created>
  <dc:creator>A</dc:creator>
  <cp:lastModifiedBy>微信用户</cp:lastModifiedBy>
  <dcterms:modified xsi:type="dcterms:W3CDTF">2025-04-10T07:09:05Z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eyJoZGlkIjoiNWJlY2JiMDE3MzA4NGFmMWNlMTU4MDg4OGY3M2QxZTQiLCJ1c2VySWQiOiIxMDA0NjE4OTIyIn0=</vt:lpwstr>
  </property>
  <property fmtid="{D5CDD505-2E9C-101B-9397-08002B2CF9AE}" pid="4" name="ICV">
    <vt:lpwstr>A7AA851BAC87482FA8DDE364961A1958_12</vt:lpwstr>
  </property>
</Properties>
</file>