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2FBE7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color w:val="auto"/>
          <w:szCs w:val="21"/>
        </w:rPr>
        <w:t>，合同复印件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color w:val="auto"/>
          <w:szCs w:val="21"/>
        </w:rPr>
        <w:t>至少包括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与用户签订的合同首页、合同关键页、签字盖章页等，缺项视为无效业绩。</w:t>
      </w:r>
    </w:p>
    <w:p w14:paraId="2DA6D89A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5D6A9AE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291E1266"/>
    <w:rsid w:val="3D0F516D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2025-04-18T06:24:33Z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