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版本号：HXZK2025ZC041100120250421001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交通强国建设试点政策优化研究项目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HXZK2025ZC0411001</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交通强国建设试点政策优化研究项目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HXZK2025ZC0411001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交通强国建设试点政策优化研究项目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交通强国建设试点政策优化研究项目，一是研究已通车政府还贷高速公路可持续发展的新路径，二是研究经营性高速公路到期处置及政策性减免补偿方案，三是探索新建收费公路可持续发展的新路径。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供应商应授权合法的人员参加磋商全过程：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贾舒媛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严格执行国家及地方相关技术规范、标准及采购人要求,最终工作成果需通过评审。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交通强国建设试点政策优化研究项目,一是研究已通车政府还贷高速公路可持续发展的新路径,二是研究经营性高速公路到期处置及政策性减免补偿方案,三是探索新建收费公路可持续发展的新路径。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1,850,000.00</w:t>
      </w:r>
    </w:p>
    <w:p>
      <w:pPr>
        <w:pStyle w:val="null3"/>
      </w:pPr>
      <w:r>
        <w:rPr>
          <w:rFonts w:ascii="仿宋_GB2312" w:hAnsi="仿宋_GB2312" w:cs="仿宋_GB2312" w:eastAsia="仿宋_GB2312"/>
        </w:rPr>
        <w:t>采购包最高限价（元）: 1,850,000.00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交通强国建设试点政策优化研究项目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标的名称：交通强国建设试点政策优化研究项目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rPr>
              <w:t>一、研究已通车政府还贷高速公路可持续发展的新路径。对已通车高速公路存量债务、通行费收支等情况进行分析,研究提出继续实行“统贷统还”收费管理的措施、方案及收费标准,实现高速公路健康持续发展。</w:t>
            </w:r>
            <w:r>
              <w:br/>
            </w:r>
            <w:r>
              <w:rPr>
                <w:rFonts w:ascii="仿宋_GB2312" w:hAnsi="仿宋_GB2312" w:cs="仿宋_GB2312" w:eastAsia="仿宋_GB2312"/>
              </w:rPr>
              <w:t xml:space="preserve"> 完善陕西省政府还贷高速公路统贷统还政策,明确全省政府还贷公路统贷统还的实施范围、实施主体、管理措施等。</w:t>
            </w:r>
            <w:r>
              <w:br/>
            </w:r>
            <w:r>
              <w:rPr>
                <w:rFonts w:ascii="仿宋_GB2312" w:hAnsi="仿宋_GB2312" w:cs="仿宋_GB2312" w:eastAsia="仿宋_GB2312"/>
              </w:rPr>
              <w:t xml:space="preserve"> 二、研究经营性高速公路到期处置及政策性减免补偿方案。针对重大节假日小客车免费通行、鲜活农产品“绿色通道”政策等国家政策性减免使经营者合法权益受损的经营性收费公路,试点通过合理确定收费期限等方式给予经营者合理补偿。</w:t>
            </w:r>
            <w:r>
              <w:br/>
            </w:r>
            <w:r>
              <w:rPr>
                <w:rFonts w:ascii="仿宋_GB2312" w:hAnsi="仿宋_GB2312" w:cs="仿宋_GB2312" w:eastAsia="仿宋_GB2312"/>
              </w:rPr>
              <w:t xml:space="preserve"> 1.提出经营性高速公路多种方式的到期处置方案。</w:t>
            </w:r>
            <w:r>
              <w:br/>
            </w:r>
            <w:r>
              <w:rPr>
                <w:rFonts w:ascii="仿宋_GB2312" w:hAnsi="仿宋_GB2312" w:cs="仿宋_GB2312" w:eastAsia="仿宋_GB2312"/>
              </w:rPr>
              <w:t xml:space="preserve"> 2.提出经营性高速公路政策性减免损失核定方法、补偿测算方法、补偿方式、补偿审批流程等。经营性高速公路政策性减免得到补偿,到期妥善处置。</w:t>
            </w:r>
            <w:r>
              <w:br/>
            </w:r>
            <w:r>
              <w:rPr>
                <w:rFonts w:ascii="仿宋_GB2312" w:hAnsi="仿宋_GB2312" w:cs="仿宋_GB2312" w:eastAsia="仿宋_GB2312"/>
              </w:rPr>
              <w:t xml:space="preserve"> 三、探索新建收费公路可持续发展的新路径。通过对新建高速公路造价、交通量、收费标准、收费期限和建设运营模式等内容进行研究,合理确定收费期限和收费标准,有效吸引社会资本参与交通基础设施建设。</w:t>
            </w:r>
            <w:r>
              <w:br/>
            </w:r>
            <w:r>
              <w:rPr>
                <w:rFonts w:ascii="仿宋_GB2312" w:hAnsi="仿宋_GB2312" w:cs="仿宋_GB2312" w:eastAsia="仿宋_GB2312"/>
              </w:rPr>
              <w:t xml:space="preserve"> 1.提出投资规模大、回报周期长的高速公路项目认定标准意见。</w:t>
            </w:r>
            <w:r>
              <w:br/>
            </w:r>
            <w:r>
              <w:rPr>
                <w:rFonts w:ascii="仿宋_GB2312" w:hAnsi="仿宋_GB2312" w:cs="仿宋_GB2312" w:eastAsia="仿宋_GB2312"/>
              </w:rPr>
              <w:t xml:space="preserve"> 2.研究优化高速公路收费标准。</w:t>
            </w:r>
            <w:r>
              <w:br/>
            </w:r>
            <w:r>
              <w:rPr>
                <w:rFonts w:ascii="仿宋_GB2312" w:hAnsi="仿宋_GB2312" w:cs="仿宋_GB2312" w:eastAsia="仿宋_GB2312"/>
              </w:rPr>
              <w:t xml:space="preserve"> 3.研究陕西省高速公路收费期限核定方法。</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服务成果要求</w:t>
            </w:r>
          </w:p>
        </w:tc>
        <w:tc>
          <w:tcPr>
            <w:tcW w:type="dxa" w:w="2076"/>
          </w:tcPr>
          <w:p>
            <w:pPr>
              <w:pStyle w:val="null3"/>
            </w:pPr>
            <w:r>
              <w:rPr>
                <w:rFonts w:ascii="仿宋_GB2312" w:hAnsi="仿宋_GB2312" w:cs="仿宋_GB2312" w:eastAsia="仿宋_GB2312"/>
              </w:rPr>
              <w:t>本服务项目的交付物包含但不限于以下内容:</w:t>
            </w:r>
            <w:r>
              <w:br/>
            </w:r>
            <w:r>
              <w:rPr>
                <w:rFonts w:ascii="仿宋_GB2312" w:hAnsi="仿宋_GB2312" w:cs="仿宋_GB2312" w:eastAsia="仿宋_GB2312"/>
              </w:rPr>
              <w:t xml:space="preserve"> 1.研究已通车政府还贷高速公路可持续发展的新路径。陕西省政府还贷高速公路可持续发展路径研究报告,陕西省政府还贷高速公路“统贷统还”实施方案。</w:t>
            </w:r>
            <w:r>
              <w:br/>
            </w:r>
            <w:r>
              <w:rPr>
                <w:rFonts w:ascii="仿宋_GB2312" w:hAnsi="仿宋_GB2312" w:cs="仿宋_GB2312" w:eastAsia="仿宋_GB2312"/>
              </w:rPr>
              <w:t xml:space="preserve"> 2.研究经营性高速公路到期处置及政策性减免补偿方案。陕西省经营性高速公路到期处置及政策性减免补偿方案研究报告,陕西省经营性高速公路到期处置及政策性减免补偿方案。</w:t>
            </w:r>
            <w:r>
              <w:br/>
            </w:r>
            <w:r>
              <w:rPr>
                <w:rFonts w:ascii="仿宋_GB2312" w:hAnsi="仿宋_GB2312" w:cs="仿宋_GB2312" w:eastAsia="仿宋_GB2312"/>
              </w:rPr>
              <w:t xml:space="preserve"> 3.探索新建收费公路可持续发展的新路径。陕西省新建高速公路可持续发展研究报告,陕西省“投资规模大、回报周期长高”收费公路项目认定标准,陕西省新建高速公路通行费收费标准优化方案,陕西省新建高速公路收费期限核定方法。</w:t>
            </w:r>
            <w:r>
              <w:br/>
            </w:r>
            <w:r>
              <w:rPr>
                <w:rFonts w:ascii="仿宋_GB2312" w:hAnsi="仿宋_GB2312" w:cs="仿宋_GB2312" w:eastAsia="仿宋_GB2312"/>
              </w:rPr>
              <w:t xml:space="preserve"> 其他需要的报告或者材料。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为保障项目研究顺利开展，供应商应抽调专业人员组成研究小组，投入的正高级职称研究人员不少于 3 人，副高级职称人员不少于 7 人，中级职称人员不少于 5 人。在服务过程中，供应商应该向省中心提供人员名单、简历、学历等相应证明文件，并保证所提供信息的准确性和有效性。</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一、磋商报价要求 磋商总报价包含完成本项目及相关服务可能发生的一切费用，供应商不得要求采购人在报价之外支付其它任何费用。由于报价填报不完整、不清楚或存在其它任何失误，所导致的任何不利后果均应当由供应商自行承担。报价不因市场因素、政府政策调整、费率调整和税收变化等而作任何调整，供应商应充分考虑到各种风险因素。 二、保密要求 项目实施过程中所收集、产生的所有与本项目相关的文档、资料，包括文字、图片、表格、数字、数据等各种形式所属权均归属省收费中心，供应商必须对获悉的保密信息负有完全和严格的保密义务，供应商及服务人员应按照要求签署保密协议。未经省收费中心事先书面同意，供应商不得传输、复制、转让、泄露信息至非交易所属单位。</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严格执行国家及地方相关技术规范、标准及要求,最终工作成果需通过评审。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合同签订后，分三次支付服务费。第一次在提交工作大纲后（合同签订10 日内完成），供应商提供合同金额的全额发票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合同签订后，分三次支付服务费。第二次提交送审稿后（2025年10月31 日前）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合同签订后，分三次支付服务费。最后一次经评审后（ 2025年11月30 日前）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 （16）本项目为非专门面向中小企业采购。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三、赋分标准（满分6分） 1、对项目背景的理解：每完全满足一个评审标准得 1分，满分3分； 2、对项目的需求分析:每完全满足一个评审标准得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针对本项目服务内容及要求，详细列明整体服务方案，方案内容包括： 1、服务目标； 2、服务计划； 3、重难点分析； 4、服务保障措施。 二、评审标准 1、完整性：方案必须全面，对评审内容中的各项要求有详细描述； 2、可实施性：切合本项目实际情况，实施步骤清晰、合理、可行； 3、针对性：方案能够紧扣项目实际需求，内容科学合理。 三、赋分标准（满分12分） 1、服务目标：每完全满足一个评审标准得1分，满分3分； 2、服务计划:每完全满足一个评审标准得1分，满分3分； 3、重难点分析：每完全满足一个评审标准得1分，满分3分； 4、服务保障措施:每完全满足一个评审标准得1分，满分3分。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项目服务工作方案</w:t>
            </w:r>
          </w:p>
        </w:tc>
        <w:tc>
          <w:tcPr>
            <w:tcW w:type="dxa" w:w="2492"/>
          </w:tcPr>
          <w:p>
            <w:pPr>
              <w:pStyle w:val="null3"/>
            </w:pPr>
            <w:r>
              <w:rPr>
                <w:rFonts w:ascii="仿宋_GB2312" w:hAnsi="仿宋_GB2312" w:cs="仿宋_GB2312" w:eastAsia="仿宋_GB2312"/>
              </w:rPr>
              <w:t>一、评审内容 为完成项目服务内容，本项目服务工作方案内容包括： 1、政策优化研究的工作方案； 2、政策优化研究的工作内容； 3、政策优化研究成果的编制和整理； 4、政策优化研究成果评审。 二、评审标准 1、完整性：方案必须全面，对评审内容中的各项要求有详细描述； 2、可实施性：切合本项目实际情况，实施步骤清晰、合理、可行； 3、针对性：方案能够紧扣项目实际需求，内容科学合理。 三、赋分标准（满分12分） 1、政策优化研究的工作方案：每完全满足一个评审标准得1分，满分3分； 2、政策优化研究的工作内容:每完全满足一个评审标准得1分，满分3分； 3、政策优化研究成果的编制和整理：每完全满足一个评审标准得1分，满分3分； 4、政策优化研究成果评审：每完全满足一个评审标准得1分，满分3分。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研究对策及建议方案</w:t>
            </w:r>
          </w:p>
        </w:tc>
        <w:tc>
          <w:tcPr>
            <w:tcW w:type="dxa" w:w="2492"/>
          </w:tcPr>
          <w:p>
            <w:pPr>
              <w:pStyle w:val="null3"/>
            </w:pPr>
            <w:r>
              <w:rPr>
                <w:rFonts w:ascii="仿宋_GB2312" w:hAnsi="仿宋_GB2312" w:cs="仿宋_GB2312" w:eastAsia="仿宋_GB2312"/>
              </w:rPr>
              <w:t>一、评审内容 为满足项目需求，研究后提出的优化对策及建议方案，内容包括： 1、研究内容的对策方案； 2、研究内容的建议方案； 3、针对研究内容的合理化建议。 二、评审标准 1、完整性：内容必须全面，对评审内容中的各项要求有详细描述； 2、可实施性：切合本项目实际情况，实施步骤清晰、合理、可行； 3、针对性：描述能够紧扣项目实际需求，内容科学合理。 三、赋分标准（满分9分） 1、研究内容的对策方案：每完全满足一个评审标准得 1分，满分 3分； 2、研究内容的建议方案:每完全满足一个评审标准得1分，满分3分； 3、针对研究内容的合理化建议:每完全满足一个评审标准得1分，满分3分。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一、评审内容 结合对本项目的服务内容及要求的人员配置，提供拟投入本项目人员，内容包括： 1、人员组织结构； 2、拟投入本项目的人员配置（提供简历表等，格式自拟，包括但不限于姓名、职务、职称、年龄、工作经验、年限、学历等相关信息）； 3、项目人员岗位职责。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三、赋分标准（满分9分） 1、人员组织结构：每完全满足一个评审标准得1分，满分 3分； 2、拟投入本项目的人员配置（提供简历表等，格式自拟，包括但不限于姓名、职务、职称、年龄、工作经验、年限、学历等相关信息）:每完全满足一个评审标准得 1 分，满分3 分； 3、项目人员岗位职责:每完全满足一个评审标准得 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供应商需针对服务内容及要求，提供详细可行的服务保障方案，内容包括： 1、服务进度计划； 2、服务质量保证方案； 3、应急服务保障措施； 4、服务成果保障措施。 二、评审标准 1、完整性：内容必须全面，对评审内容中的各项要求有详细描述； 2、可实施性：切合本项目实际情况，实施步骤清晰、合理、可行； 3、针对性：描述能够紧扣项目实际需求，内容科学合理。 三、赋分标准（满分12分） 1、服务进度计划：每完全满足一个评审标准得1分，满分3分； 2、服务质量保证方案：每完全满足一个评审标准得1分，满分3分； 3、应急服务保障措施:每完全满足一个评审标准得 1分，满分3分； 4、服务成果保障措施:每完全满足一个评审标准得1分，满分3分。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一、评审内容 为保证研究的服务质量和服务成果，内容包括： 1、研究成果达到的目标； 2、研究成果的准确性。 二、评审标准 1、完整性：对评审内容中的各项要求有全面、详细描述； 2、可实施性：切合项目实际情况，各项内容清晰、合理、可行； 3、针对性：各项描述能够满足项目及采购人实际需求，内容科学合理。 三、赋分标准（满分6分） 1、研究成果达到的目标：每完全满足一个评审标准得1分，满分3分； 2、研究成果的准确性：每完全满足一个评审标准得1分，满分3分。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根据项目情况提供完整的管理制度，包括： 1、日常管理制度； 2、内部监督考核制度。 二、评审标准 1、完整性：对评审内容中的各项制度有全面、详细描述； 2、可实施性：切合项目实际情况，各项制度内容清晰、合理、可行； 3、针对性：各项制度能够紧扣项目及采购人实际需求，内容科学合理。 三、赋分标准（满分6分） 1、日常管理制度：每完全满足一个评审标准得1分，满分3分； 2、内部监督考核制度：每完全满足一个评审标准得1分，满分3分。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1、承诺：在服务期限内，保证按采购人要求的时限内完成各项服务内容的研究，服务成果符合评审要求，得1分。无承诺不得分。 2、承诺：为保障项目研究的顺利开展，研究人员数量满足服务要求，人员在服务过程中未经采购人允许不得随意更换，得1分。无承诺不得分。 3、承诺：为确保研究服务成果的准确和高效，定期对研究服务的进展情况及时向采购人汇报，得1分。无承诺不得分。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提供2020年1月1日起至今类似项目业绩（以合同签订时间为准），每提供1份业绩合同得1分，满分5分。 注：提供合同复印件或扫描件加盖公章。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对满足价格扣除条件且在响应文件中提交了《中小企业声明函》、《残疾人福利性单位声明函》或省级以上监狱管理局、戒毒管理局（含新疆生产建设兵团）出具的属于监狱企业的证明文件的供应商，其响应报价扣除 10% 后参与评审。对于同时属于小微企业、监狱企业或残疾人福利性单位的，不重复进行响应报价扣除。）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