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1C1F1">
      <w:pPr>
        <w:pStyle w:val="12"/>
        <w:rPr>
          <w:rFonts w:hint="eastAsia" w:ascii="仿宋" w:hAnsi="仿宋" w:eastAsia="仿宋" w:cs="仿宋"/>
          <w:highlight w:val="none"/>
          <w:lang w:val="en-US" w:eastAsia="zh-CN"/>
        </w:rPr>
      </w:pPr>
      <w:r>
        <w:rPr>
          <w:rFonts w:hint="eastAsia" w:ascii="仿宋" w:hAnsi="仿宋" w:eastAsia="仿宋" w:cs="仿宋"/>
          <w:highlight w:val="none"/>
          <w:lang w:val="en-US" w:eastAsia="zh-CN"/>
        </w:rPr>
        <w:t>采购包1-采购包5通用合同文本</w:t>
      </w:r>
    </w:p>
    <w:p w14:paraId="2859826B">
      <w:pPr>
        <w:pStyle w:val="12"/>
        <w:keepNext w:val="0"/>
        <w:keepLines w:val="0"/>
        <w:pageBreakBefore w:val="0"/>
        <w:numPr>
          <w:ilvl w:val="0"/>
          <w:numId w:val="0"/>
        </w:numPr>
        <w:kinsoku/>
        <w:wordWrap/>
        <w:overflowPunct/>
        <w:topLinePunct w:val="0"/>
        <w:autoSpaceDE/>
        <w:autoSpaceDN/>
        <w:bidi w:val="0"/>
        <w:adjustRightInd/>
        <w:snapToGrid/>
        <w:spacing w:line="360" w:lineRule="auto"/>
        <w:ind w:left="456" w:leftChars="190" w:firstLine="0" w:firstLineChars="0"/>
        <w:jc w:val="both"/>
        <w:textAlignment w:val="auto"/>
        <w:outlineLvl w:val="1"/>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采购人（以下简称甲方）：</w:t>
      </w:r>
    </w:p>
    <w:p w14:paraId="5FB617D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供应商（以下简称乙方）：</w:t>
      </w:r>
    </w:p>
    <w:p w14:paraId="39F439B4">
      <w:pPr>
        <w:spacing w:line="360" w:lineRule="auto"/>
        <w:ind w:firstLine="400" w:firstLineChars="200"/>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根据《中华人民共和国民法典》、《中华人民共和国政府采购法》及其它有关法律、行政法规，为明确双方在施工过程中的权利、义务，经双方协商自愿签订本合同。</w:t>
      </w:r>
    </w:p>
    <w:p w14:paraId="64AE463D">
      <w:pPr>
        <w:spacing w:before="120" w:after="120"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一、合同组成</w:t>
      </w:r>
    </w:p>
    <w:p w14:paraId="3BE794A4">
      <w:pPr>
        <w:autoSpaceDE w:val="0"/>
        <w:autoSpaceDN w:val="0"/>
        <w:adjustRightInd w:val="0"/>
        <w:spacing w:line="360" w:lineRule="auto"/>
        <w:ind w:left="4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val="zh-CN"/>
        </w:rPr>
        <w:t>下述文件是构成本合同不可分割的部分</w:t>
      </w:r>
      <w:r>
        <w:rPr>
          <w:rFonts w:hint="eastAsia" w:ascii="仿宋" w:hAnsi="仿宋" w:eastAsia="仿宋" w:cs="仿宋"/>
          <w:color w:val="auto"/>
          <w:sz w:val="20"/>
          <w:szCs w:val="20"/>
          <w:highlight w:val="none"/>
        </w:rPr>
        <w:t>:</w:t>
      </w:r>
    </w:p>
    <w:p w14:paraId="3DCBFF19">
      <w:pPr>
        <w:autoSpaceDE w:val="0"/>
        <w:autoSpaceDN w:val="0"/>
        <w:adjustRightInd w:val="0"/>
        <w:spacing w:line="360" w:lineRule="auto"/>
        <w:ind w:left="48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val="zh-CN"/>
        </w:rPr>
        <w:t>本合同条款及其所有附件。</w:t>
      </w:r>
    </w:p>
    <w:p w14:paraId="78795CB6">
      <w:pPr>
        <w:autoSpaceDE w:val="0"/>
        <w:autoSpaceDN w:val="0"/>
        <w:adjustRightInd w:val="0"/>
        <w:spacing w:line="360" w:lineRule="auto"/>
        <w:ind w:firstLine="480"/>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w:t>
      </w: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lang w:val="zh-CN"/>
        </w:rPr>
        <w:t>文件及澄清文件。</w:t>
      </w:r>
    </w:p>
    <w:p w14:paraId="5D33C2BD">
      <w:pPr>
        <w:autoSpaceDE w:val="0"/>
        <w:autoSpaceDN w:val="0"/>
        <w:adjustRightInd w:val="0"/>
        <w:spacing w:line="360" w:lineRule="auto"/>
        <w:ind w:firstLine="480"/>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w:t>
      </w: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val="zh-CN"/>
        </w:rPr>
        <w:t>乙方的</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val="zh-CN"/>
        </w:rPr>
        <w:t>文件及质疑解答文件。</w:t>
      </w:r>
    </w:p>
    <w:p w14:paraId="23BF0B81">
      <w:pPr>
        <w:autoSpaceDE w:val="0"/>
        <w:autoSpaceDN w:val="0"/>
        <w:adjustRightInd w:val="0"/>
        <w:spacing w:line="360" w:lineRule="auto"/>
        <w:ind w:firstLine="48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w:t>
      </w:r>
      <w:r>
        <w:rPr>
          <w:rFonts w:hint="eastAsia" w:ascii="仿宋" w:hAnsi="仿宋" w:eastAsia="仿宋" w:cs="仿宋"/>
          <w:color w:val="auto"/>
          <w:sz w:val="20"/>
          <w:szCs w:val="20"/>
          <w:highlight w:val="none"/>
        </w:rPr>
        <w:t>4）</w:t>
      </w:r>
      <w:r>
        <w:rPr>
          <w:rFonts w:hint="eastAsia" w:ascii="仿宋" w:hAnsi="仿宋" w:eastAsia="仿宋" w:cs="仿宋"/>
          <w:color w:val="auto"/>
          <w:sz w:val="20"/>
          <w:szCs w:val="20"/>
          <w:highlight w:val="none"/>
          <w:lang w:val="en-US" w:eastAsia="zh-CN"/>
        </w:rPr>
        <w:t>中标</w:t>
      </w:r>
      <w:r>
        <w:rPr>
          <w:rFonts w:hint="eastAsia" w:ascii="仿宋" w:hAnsi="仿宋" w:eastAsia="仿宋" w:cs="仿宋"/>
          <w:color w:val="auto"/>
          <w:sz w:val="20"/>
          <w:szCs w:val="20"/>
          <w:highlight w:val="none"/>
          <w:lang w:val="zh-CN"/>
        </w:rPr>
        <w:t>通知书。</w:t>
      </w:r>
    </w:p>
    <w:p w14:paraId="1CDF212B">
      <w:pPr>
        <w:autoSpaceDE w:val="0"/>
        <w:autoSpaceDN w:val="0"/>
        <w:adjustRightInd w:val="0"/>
        <w:spacing w:line="360" w:lineRule="auto"/>
        <w:ind w:firstLine="48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（5）</w:t>
      </w:r>
      <w:r>
        <w:rPr>
          <w:rFonts w:hint="eastAsia" w:ascii="仿宋" w:hAnsi="仿宋" w:eastAsia="仿宋" w:cs="仿宋"/>
          <w:color w:val="auto"/>
          <w:sz w:val="20"/>
          <w:szCs w:val="20"/>
          <w:highlight w:val="none"/>
          <w:lang w:val="zh-CN"/>
        </w:rPr>
        <w:t>法定代表人授权书。</w:t>
      </w:r>
    </w:p>
    <w:p w14:paraId="30B1A2E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（6）双方与合同有关的往来信函、传真经双方法定代表人或其授权代表签字并加盖单位公章确认后视为本合同的组成部分。</w:t>
      </w:r>
    </w:p>
    <w:p w14:paraId="54498386">
      <w:pPr>
        <w:autoSpaceDE w:val="0"/>
        <w:autoSpaceDN w:val="0"/>
        <w:adjustRightInd w:val="0"/>
        <w:spacing w:line="360" w:lineRule="auto"/>
        <w:ind w:firstLine="48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（7）经双方法定代表人或其授权代表签字并加盖单位公章确认的补充协议。</w:t>
      </w:r>
    </w:p>
    <w:p w14:paraId="676A073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val="zh-CN"/>
        </w:rPr>
        <w:t>如果乙方的投标文件及质疑解答文件内容违背或低于招标文件要求或任何可能导致影响当次采购目的的情形，均应当被视为乙方自动放弃投标文件及质疑解答文件中相应部分而同意以招标文件相应内容为准。如果乙方的投标文件及质疑解答文件内容高于招标文件要求，则以乙方的投标文件及质疑解答文件内容为准。如果合同条款与合同附件有矛盾之处，以合同条款内容为准。</w:t>
      </w:r>
      <w:r>
        <w:rPr>
          <w:rFonts w:hint="eastAsia" w:ascii="仿宋" w:hAnsi="仿宋" w:eastAsia="仿宋" w:cs="仿宋"/>
          <w:color w:val="auto"/>
          <w:sz w:val="20"/>
          <w:szCs w:val="20"/>
          <w:highlight w:val="none"/>
        </w:rPr>
        <w:t>如果合同附件之间有矛盾之处，以有利于甲方的附件内容为准。</w:t>
      </w:r>
    </w:p>
    <w:p w14:paraId="5072834E">
      <w:pPr>
        <w:overflowPunct w:val="0"/>
        <w:spacing w:after="120" w:afterLines="50" w:line="360" w:lineRule="auto"/>
        <w:ind w:firstLine="48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3EF0A78D">
      <w:pPr>
        <w:spacing w:before="120" w:after="120"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二、项目概况</w:t>
      </w:r>
    </w:p>
    <w:p w14:paraId="2A967869">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bCs/>
          <w:color w:val="auto"/>
          <w:sz w:val="20"/>
          <w:szCs w:val="20"/>
          <w:highlight w:val="none"/>
        </w:rPr>
        <w:t>1.服务内容：</w:t>
      </w:r>
      <w:r>
        <w:rPr>
          <w:rFonts w:hint="eastAsia" w:ascii="仿宋" w:hAnsi="仿宋" w:eastAsia="仿宋" w:cs="仿宋"/>
          <w:highlight w:val="none"/>
          <w:lang w:eastAsia="zh-CN"/>
        </w:rPr>
        <w:t>防爆电器等26种产品质量监督抽查</w:t>
      </w:r>
      <w:r>
        <w:rPr>
          <w:rFonts w:hint="eastAsia" w:ascii="仿宋" w:hAnsi="仿宋" w:eastAsia="仿宋" w:cs="仿宋"/>
          <w:highlight w:val="none"/>
        </w:rPr>
        <w:t>，共分为</w:t>
      </w:r>
      <w:r>
        <w:rPr>
          <w:rFonts w:hint="eastAsia" w:ascii="仿宋" w:hAnsi="仿宋" w:eastAsia="仿宋" w:cs="仿宋"/>
          <w:highlight w:val="none"/>
          <w:lang w:val="en-US" w:eastAsia="zh-CN"/>
        </w:rPr>
        <w:t>五</w:t>
      </w:r>
      <w:r>
        <w:rPr>
          <w:rFonts w:hint="eastAsia" w:ascii="仿宋" w:hAnsi="仿宋" w:eastAsia="仿宋" w:cs="仿宋"/>
          <w:highlight w:val="none"/>
        </w:rPr>
        <w:t>个包</w:t>
      </w:r>
      <w:r>
        <w:rPr>
          <w:rFonts w:hint="eastAsia" w:ascii="仿宋" w:hAnsi="仿宋" w:eastAsia="仿宋" w:cs="仿宋"/>
          <w:highlight w:val="none"/>
          <w:lang w:eastAsia="zh-CN"/>
        </w:rPr>
        <w:t>（</w:t>
      </w:r>
      <w:r>
        <w:rPr>
          <w:rFonts w:hint="eastAsia" w:ascii="仿宋" w:hAnsi="仿宋" w:eastAsia="仿宋" w:cs="仿宋"/>
          <w:highlight w:val="none"/>
          <w:lang w:val="en-US" w:eastAsia="zh-CN"/>
        </w:rPr>
        <w:t>其中第一包：防爆电器等9种产品质量监督抽查；第二包：光伏并网逆变器等3种产品质量监督抽查；第三包：醇基燃料等7种产品质量监督抽查；第四包：电动自行车电池等3种产品质量监督抽查；第五包:奶嘴等4种产品质量监督抽查。</w:t>
      </w:r>
    </w:p>
    <w:p w14:paraId="5C00E571">
      <w:pPr>
        <w:pStyle w:val="12"/>
        <w:ind w:firstLine="400" w:firstLineChars="200"/>
        <w:rPr>
          <w:rFonts w:hint="eastAsia" w:ascii="仿宋" w:hAnsi="仿宋" w:eastAsia="仿宋" w:cs="仿宋"/>
          <w:highlight w:val="none"/>
          <w:lang w:val="en-US" w:eastAsia="zh-CN"/>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服务</w:t>
      </w:r>
      <w:r>
        <w:rPr>
          <w:rFonts w:hint="eastAsia" w:ascii="仿宋" w:hAnsi="仿宋" w:eastAsia="仿宋" w:cs="仿宋"/>
          <w:color w:val="auto"/>
          <w:sz w:val="20"/>
          <w:szCs w:val="20"/>
          <w:highlight w:val="none"/>
        </w:rPr>
        <w:t>期：</w:t>
      </w:r>
      <w:r>
        <w:rPr>
          <w:rFonts w:hint="eastAsia" w:ascii="仿宋" w:hAnsi="仿宋" w:eastAsia="仿宋" w:cs="仿宋"/>
          <w:highlight w:val="none"/>
          <w:lang w:val="en-US" w:eastAsia="zh-CN"/>
        </w:rPr>
        <w:t>服务期限为一年</w:t>
      </w:r>
    </w:p>
    <w:p w14:paraId="39C7C759">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eastAsia="zh-CN"/>
        </w:rPr>
        <w:t>服务地点：</w:t>
      </w:r>
      <w:r>
        <w:rPr>
          <w:rFonts w:hint="eastAsia" w:ascii="仿宋" w:hAnsi="仿宋" w:eastAsia="仿宋" w:cs="仿宋"/>
          <w:highlight w:val="none"/>
          <w:lang w:val="en-US" w:eastAsia="zh-CN"/>
        </w:rPr>
        <w:t>采购人指定地点</w:t>
      </w:r>
    </w:p>
    <w:p w14:paraId="051FFE75">
      <w:pPr>
        <w:pStyle w:val="12"/>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质量要求：</w:t>
      </w:r>
      <w:r>
        <w:rPr>
          <w:rFonts w:hint="eastAsia" w:ascii="仿宋" w:hAnsi="仿宋" w:eastAsia="仿宋" w:cs="仿宋"/>
          <w:highlight w:val="none"/>
          <w:lang w:val="en-US" w:eastAsia="zh-CN"/>
        </w:rPr>
        <w:t>供应商所出具的检验报告满足国家或行业</w:t>
      </w:r>
      <w:r>
        <w:rPr>
          <w:rFonts w:hint="eastAsia" w:ascii="仿宋" w:hAnsi="仿宋" w:eastAsia="仿宋" w:cs="仿宋"/>
          <w:highlight w:val="none"/>
        </w:rPr>
        <w:t>规范</w:t>
      </w:r>
      <w:r>
        <w:rPr>
          <w:rFonts w:hint="eastAsia" w:ascii="仿宋" w:hAnsi="仿宋" w:eastAsia="仿宋" w:cs="仿宋"/>
          <w:highlight w:val="none"/>
          <w:lang w:val="en-US" w:eastAsia="zh-CN"/>
        </w:rPr>
        <w:t>执行标准</w:t>
      </w:r>
      <w:r>
        <w:rPr>
          <w:rFonts w:hint="eastAsia" w:ascii="仿宋" w:hAnsi="仿宋" w:eastAsia="仿宋" w:cs="仿宋"/>
          <w:color w:val="auto"/>
          <w:sz w:val="20"/>
          <w:szCs w:val="20"/>
          <w:highlight w:val="none"/>
        </w:rPr>
        <w:t>。</w:t>
      </w:r>
    </w:p>
    <w:p w14:paraId="7058DEEC">
      <w:pPr>
        <w:spacing w:before="120" w:after="120"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三、</w:t>
      </w:r>
      <w:r>
        <w:rPr>
          <w:rFonts w:hint="eastAsia" w:ascii="仿宋" w:hAnsi="仿宋" w:eastAsia="仿宋" w:cs="仿宋"/>
          <w:b/>
          <w:bCs/>
          <w:color w:val="auto"/>
          <w:sz w:val="20"/>
          <w:szCs w:val="20"/>
          <w:highlight w:val="none"/>
        </w:rPr>
        <w:t>合同价款及付款比例</w:t>
      </w:r>
    </w:p>
    <w:p w14:paraId="274CD93D">
      <w:pPr>
        <w:spacing w:line="360" w:lineRule="auto"/>
        <w:ind w:firstLine="400" w:firstLineChars="200"/>
        <w:jc w:val="left"/>
        <w:rPr>
          <w:rFonts w:hint="eastAsia" w:ascii="仿宋" w:hAnsi="仿宋" w:eastAsia="仿宋" w:cs="仿宋"/>
          <w:color w:val="auto"/>
          <w:sz w:val="20"/>
          <w:szCs w:val="20"/>
          <w:highlight w:val="none"/>
          <w:lang w:eastAsia="zh-CN"/>
        </w:rPr>
      </w:pPr>
      <w:r>
        <w:rPr>
          <w:rFonts w:hint="eastAsia" w:ascii="仿宋" w:hAnsi="仿宋" w:eastAsia="仿宋" w:cs="仿宋"/>
          <w:bCs/>
          <w:color w:val="auto"/>
          <w:sz w:val="20"/>
          <w:szCs w:val="20"/>
          <w:highlight w:val="none"/>
        </w:rPr>
        <w:t>1.合同价款：</w:t>
      </w:r>
      <w:r>
        <w:rPr>
          <w:rFonts w:hint="eastAsia" w:ascii="仿宋" w:hAnsi="仿宋" w:eastAsia="仿宋" w:cs="仿宋"/>
          <w:color w:val="auto"/>
          <w:sz w:val="20"/>
          <w:szCs w:val="20"/>
          <w:highlight w:val="none"/>
        </w:rPr>
        <w:t>合同为固定</w:t>
      </w:r>
      <w:r>
        <w:rPr>
          <w:rFonts w:hint="eastAsia" w:ascii="仿宋" w:hAnsi="仿宋" w:eastAsia="仿宋" w:cs="仿宋"/>
          <w:color w:val="auto"/>
          <w:sz w:val="20"/>
          <w:szCs w:val="20"/>
          <w:highlight w:val="none"/>
          <w:lang w:val="en-US" w:eastAsia="zh-CN"/>
        </w:rPr>
        <w:t>单</w:t>
      </w:r>
      <w:r>
        <w:rPr>
          <w:rFonts w:hint="eastAsia" w:ascii="仿宋" w:hAnsi="仿宋" w:eastAsia="仿宋" w:cs="仿宋"/>
          <w:color w:val="auto"/>
          <w:sz w:val="20"/>
          <w:szCs w:val="20"/>
          <w:highlight w:val="none"/>
        </w:rPr>
        <w:t>价合同</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单价详见投标文件分项报价表，总结算金额不超过项目采购包预算金额</w:t>
      </w:r>
      <w:r>
        <w:rPr>
          <w:rFonts w:hint="eastAsia" w:ascii="仿宋" w:hAnsi="仿宋" w:eastAsia="仿宋" w:cs="仿宋"/>
          <w:color w:val="auto"/>
          <w:sz w:val="20"/>
          <w:szCs w:val="20"/>
          <w:highlight w:val="none"/>
          <w:lang w:eastAsia="zh-CN"/>
        </w:rPr>
        <w:t>。</w:t>
      </w:r>
    </w:p>
    <w:p w14:paraId="663B6B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lang w:val="en-US" w:eastAsia="zh-CN"/>
        </w:rPr>
        <w:t>2.</w:t>
      </w:r>
      <w:r>
        <w:rPr>
          <w:rFonts w:hint="eastAsia" w:ascii="仿宋" w:hAnsi="仿宋" w:eastAsia="仿宋" w:cs="仿宋"/>
          <w:bCs/>
          <w:color w:val="auto"/>
          <w:sz w:val="20"/>
          <w:szCs w:val="20"/>
          <w:highlight w:val="none"/>
        </w:rPr>
        <w:t>付款方式：</w:t>
      </w:r>
    </w:p>
    <w:p w14:paraId="4D20007D">
      <w:pPr>
        <w:keepNext w:val="0"/>
        <w:keepLines w:val="0"/>
        <w:pageBreakBefore w:val="0"/>
        <w:widowControl w:val="0"/>
        <w:kinsoku/>
        <w:wordWrap/>
        <w:overflowPunct/>
        <w:topLinePunct w:val="0"/>
        <w:autoSpaceDE/>
        <w:autoSpaceDN/>
        <w:bidi w:val="0"/>
        <w:snapToGrid/>
        <w:spacing w:line="360" w:lineRule="auto"/>
        <w:ind w:firstLine="600" w:firstLineChars="300"/>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lang w:val="en-US" w:eastAsia="zh-CN"/>
        </w:rPr>
        <w:t>2.1合同签订后，达到付款条件起30 日内，支付合同总金额的85.00%</w:t>
      </w:r>
      <w:r>
        <w:rPr>
          <w:rFonts w:hint="eastAsia" w:ascii="仿宋" w:hAnsi="仿宋" w:eastAsia="仿宋" w:cs="仿宋"/>
          <w:bCs/>
          <w:color w:val="auto"/>
          <w:sz w:val="20"/>
          <w:szCs w:val="20"/>
          <w:highlight w:val="none"/>
        </w:rPr>
        <w:t>。</w:t>
      </w:r>
    </w:p>
    <w:p w14:paraId="1E780E7A">
      <w:pPr>
        <w:keepNext w:val="0"/>
        <w:keepLines w:val="0"/>
        <w:pageBreakBefore w:val="0"/>
        <w:widowControl w:val="0"/>
        <w:kinsoku/>
        <w:wordWrap/>
        <w:overflowPunct/>
        <w:topLinePunct w:val="0"/>
        <w:autoSpaceDE/>
        <w:autoSpaceDN/>
        <w:bidi w:val="0"/>
        <w:snapToGrid/>
        <w:spacing w:line="360" w:lineRule="auto"/>
        <w:ind w:firstLine="600" w:firstLineChars="300"/>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lang w:val="en-US" w:eastAsia="zh-CN"/>
        </w:rPr>
        <w:t>2.2</w:t>
      </w:r>
      <w:r>
        <w:rPr>
          <w:rFonts w:hint="eastAsia" w:ascii="仿宋" w:hAnsi="仿宋" w:eastAsia="仿宋" w:cs="仿宋"/>
          <w:bCs/>
          <w:color w:val="auto"/>
          <w:sz w:val="20"/>
          <w:szCs w:val="20"/>
          <w:highlight w:val="none"/>
        </w:rPr>
        <w:t>付款条件说明： 服务期结束且验收合格后 ，达到付款条件起30 日内，支付合同总金额的15.00%。</w:t>
      </w:r>
    </w:p>
    <w:p w14:paraId="6FC5F3DD">
      <w:pPr>
        <w:keepNext w:val="0"/>
        <w:keepLines w:val="0"/>
        <w:pageBreakBefore w:val="0"/>
        <w:widowControl w:val="0"/>
        <w:kinsoku/>
        <w:wordWrap/>
        <w:overflowPunct/>
        <w:topLinePunct w:val="0"/>
        <w:autoSpaceDE/>
        <w:autoSpaceDN/>
        <w:bidi w:val="0"/>
        <w:snapToGrid/>
        <w:spacing w:line="360" w:lineRule="auto"/>
        <w:ind w:firstLine="600" w:firstLineChars="300"/>
        <w:textAlignment w:val="auto"/>
        <w:rPr>
          <w:rFonts w:hint="eastAsia" w:ascii="仿宋" w:hAnsi="仿宋" w:eastAsia="仿宋" w:cs="仿宋"/>
          <w:bCs/>
          <w:color w:val="auto"/>
          <w:sz w:val="20"/>
          <w:szCs w:val="20"/>
          <w:highlight w:val="none"/>
          <w:lang w:eastAsia="zh-CN"/>
        </w:rPr>
      </w:pPr>
      <w:r>
        <w:rPr>
          <w:rFonts w:hint="eastAsia" w:ascii="仿宋" w:hAnsi="仿宋" w:eastAsia="仿宋" w:cs="仿宋"/>
          <w:bCs/>
          <w:color w:val="auto"/>
          <w:sz w:val="20"/>
          <w:szCs w:val="20"/>
          <w:highlight w:val="none"/>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2844D9D4">
      <w:pPr>
        <w:pageBreakBefore w:val="0"/>
        <w:widowControl/>
        <w:tabs>
          <w:tab w:val="left" w:pos="426"/>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3.乙方开户银行指定账户为：</w:t>
      </w:r>
    </w:p>
    <w:p w14:paraId="46A708DD">
      <w:pPr>
        <w:widowControl/>
        <w:tabs>
          <w:tab w:val="left" w:pos="426"/>
        </w:tabs>
        <w:adjustRightInd w:val="0"/>
        <w:snapToGrid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收款人：</w:t>
      </w:r>
    </w:p>
    <w:p w14:paraId="3A2226EE">
      <w:pPr>
        <w:widowControl/>
        <w:tabs>
          <w:tab w:val="left" w:pos="426"/>
        </w:tabs>
        <w:adjustRightInd w:val="0"/>
        <w:snapToGrid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开户行：</w:t>
      </w:r>
    </w:p>
    <w:p w14:paraId="3E93686E">
      <w:pPr>
        <w:widowControl/>
        <w:tabs>
          <w:tab w:val="left" w:pos="426"/>
        </w:tabs>
        <w:adjustRightInd w:val="0"/>
        <w:snapToGrid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p w14:paraId="76B3D5A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4.甲方付款前，乙方应向甲方开具正式等额发票，否则甲方有权延迟履行付款义务。</w:t>
      </w:r>
    </w:p>
    <w:p w14:paraId="0F893651">
      <w:pPr>
        <w:spacing w:line="360" w:lineRule="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四、</w:t>
      </w:r>
      <w:r>
        <w:rPr>
          <w:rFonts w:hint="eastAsia" w:ascii="仿宋" w:hAnsi="仿宋" w:eastAsia="仿宋" w:cs="仿宋"/>
          <w:b/>
          <w:color w:val="auto"/>
          <w:sz w:val="20"/>
          <w:szCs w:val="20"/>
          <w:highlight w:val="none"/>
        </w:rPr>
        <w:t>乙方</w:t>
      </w:r>
      <w:r>
        <w:rPr>
          <w:rFonts w:hint="eastAsia" w:ascii="仿宋" w:hAnsi="仿宋" w:eastAsia="仿宋" w:cs="仿宋"/>
          <w:b/>
          <w:color w:val="auto"/>
          <w:sz w:val="20"/>
          <w:szCs w:val="20"/>
          <w:highlight w:val="none"/>
          <w:lang w:val="en-US" w:eastAsia="zh-CN"/>
        </w:rPr>
        <w:t>项目负责人</w:t>
      </w:r>
    </w:p>
    <w:p w14:paraId="3AB28123">
      <w:pPr>
        <w:spacing w:line="360" w:lineRule="auto"/>
        <w:ind w:firstLine="400" w:firstLineChars="200"/>
        <w:rPr>
          <w:rFonts w:hint="eastAsia" w:ascii="仿宋" w:hAnsi="仿宋" w:eastAsia="仿宋" w:cs="仿宋"/>
          <w:b/>
          <w:color w:val="auto"/>
          <w:sz w:val="20"/>
          <w:szCs w:val="20"/>
          <w:highlight w:val="none"/>
        </w:rPr>
      </w:pPr>
      <w:r>
        <w:rPr>
          <w:rFonts w:hint="eastAsia" w:ascii="仿宋" w:hAnsi="仿宋" w:eastAsia="仿宋" w:cs="仿宋"/>
          <w:bCs/>
          <w:color w:val="auto"/>
          <w:sz w:val="20"/>
          <w:szCs w:val="20"/>
          <w:highlight w:val="none"/>
        </w:rPr>
        <w:t>本项目拟派</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为负责人，联系电话：</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，身份证号：</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w:t>
      </w:r>
    </w:p>
    <w:p w14:paraId="44728F80">
      <w:pPr>
        <w:pStyle w:val="7"/>
        <w:spacing w:before="120" w:after="120" w:line="360" w:lineRule="auto"/>
        <w:rPr>
          <w:rFonts w:hint="eastAsia" w:ascii="仿宋" w:hAnsi="仿宋" w:eastAsia="仿宋" w:cs="仿宋"/>
          <w:b/>
          <w:color w:val="auto"/>
          <w:sz w:val="20"/>
          <w:szCs w:val="20"/>
          <w:highlight w:val="none"/>
          <w:lang w:val="zh-CN"/>
        </w:rPr>
      </w:pPr>
      <w:r>
        <w:rPr>
          <w:rFonts w:hint="eastAsia" w:ascii="仿宋" w:hAnsi="仿宋" w:eastAsia="仿宋" w:cs="仿宋"/>
          <w:b/>
          <w:color w:val="auto"/>
          <w:sz w:val="20"/>
          <w:szCs w:val="20"/>
          <w:highlight w:val="none"/>
          <w:lang w:val="zh-CN"/>
        </w:rPr>
        <w:t>五、甲方的主要责任和权利</w:t>
      </w:r>
    </w:p>
    <w:p w14:paraId="6EE95686">
      <w:pPr>
        <w:spacing w:before="120" w:after="120"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甲方有权享有乙方按照上述约定提供的服务</w:t>
      </w:r>
      <w:r>
        <w:rPr>
          <w:rFonts w:hint="eastAsia" w:ascii="仿宋" w:hAnsi="仿宋" w:eastAsia="仿宋" w:cs="仿宋"/>
          <w:color w:val="auto"/>
          <w:sz w:val="20"/>
          <w:szCs w:val="20"/>
          <w:highlight w:val="none"/>
          <w:lang w:eastAsia="zh-CN"/>
        </w:rPr>
        <w:t>；</w:t>
      </w:r>
    </w:p>
    <w:p w14:paraId="55564132">
      <w:pPr>
        <w:spacing w:before="120" w:after="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482A1FCB">
      <w:pPr>
        <w:spacing w:before="120" w:after="120"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eastAsia="zh-CN"/>
        </w:rPr>
        <w:t>.采购人不得干涉服务商依法或依本合同规定内容所进行的管理活动；</w:t>
      </w:r>
    </w:p>
    <w:p w14:paraId="7A93DD66">
      <w:pPr>
        <w:spacing w:before="120" w:after="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除本合同约定的服务费用外，乙方不得向甲方及其甲方人员收取其他任何费用，如甲方发现乙方有此类行为，甲方有权要求乙方清退所收费用， 退还利息并支付违约金；</w:t>
      </w:r>
    </w:p>
    <w:p w14:paraId="2B72C952">
      <w:pPr>
        <w:spacing w:before="120" w:after="120"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5.</w:t>
      </w:r>
      <w:r>
        <w:rPr>
          <w:rFonts w:hint="eastAsia" w:ascii="仿宋" w:hAnsi="仿宋" w:eastAsia="仿宋" w:cs="仿宋"/>
          <w:color w:val="auto"/>
          <w:sz w:val="20"/>
          <w:szCs w:val="20"/>
          <w:highlight w:val="none"/>
        </w:rPr>
        <w:t>在服务实施过程中，甲方应为乙方提供必要的工作便利与指导，配合乙方履行职责</w:t>
      </w:r>
      <w:r>
        <w:rPr>
          <w:rFonts w:hint="eastAsia" w:ascii="仿宋" w:hAnsi="仿宋" w:eastAsia="仿宋" w:cs="仿宋"/>
          <w:color w:val="auto"/>
          <w:sz w:val="20"/>
          <w:szCs w:val="20"/>
          <w:highlight w:val="none"/>
          <w:lang w:eastAsia="zh-CN"/>
        </w:rPr>
        <w:t>；</w:t>
      </w:r>
    </w:p>
    <w:p w14:paraId="52EB3E45">
      <w:pPr>
        <w:spacing w:before="120" w:after="120"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6.</w:t>
      </w:r>
      <w:r>
        <w:rPr>
          <w:rFonts w:hint="eastAsia" w:ascii="仿宋" w:hAnsi="仿宋" w:eastAsia="仿宋" w:cs="仿宋"/>
          <w:color w:val="auto"/>
          <w:sz w:val="20"/>
          <w:szCs w:val="20"/>
          <w:highlight w:val="none"/>
        </w:rPr>
        <w:t>甲方不得将本合同的内容向甲乙双方以外的、与签订和履行本合同无关的任何第三方透露，不得泄露乙方的商业秘密（包括本合同及其附件和合同签订前的各项方案）</w:t>
      </w:r>
      <w:r>
        <w:rPr>
          <w:rFonts w:hint="eastAsia" w:ascii="仿宋" w:hAnsi="仿宋" w:eastAsia="仿宋" w:cs="仿宋"/>
          <w:color w:val="auto"/>
          <w:sz w:val="20"/>
          <w:szCs w:val="20"/>
          <w:highlight w:val="none"/>
          <w:lang w:eastAsia="zh-CN"/>
        </w:rPr>
        <w:t>。</w:t>
      </w:r>
    </w:p>
    <w:p w14:paraId="4BB40C68">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六、乙方的主要责任和权利</w:t>
      </w:r>
    </w:p>
    <w:p w14:paraId="0A086C1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1.乙方必须具有履行本合同书所需的技能，必须按照相关的职业准则完成其全部职责</w:t>
      </w:r>
      <w:r>
        <w:rPr>
          <w:rFonts w:hint="eastAsia" w:ascii="仿宋" w:hAnsi="仿宋" w:eastAsia="仿宋" w:cs="仿宋"/>
          <w:color w:val="auto"/>
          <w:sz w:val="20"/>
          <w:szCs w:val="20"/>
          <w:highlight w:val="none"/>
          <w:lang w:eastAsia="zh-CN"/>
        </w:rPr>
        <w:t>；</w:t>
      </w:r>
    </w:p>
    <w:p w14:paraId="4A507CB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2.乙方应根据本合同的约定提交相关文件、资料</w:t>
      </w:r>
      <w:r>
        <w:rPr>
          <w:rFonts w:hint="eastAsia" w:ascii="仿宋" w:hAnsi="仿宋" w:eastAsia="仿宋" w:cs="仿宋"/>
          <w:color w:val="auto"/>
          <w:sz w:val="20"/>
          <w:szCs w:val="20"/>
          <w:highlight w:val="none"/>
          <w:lang w:eastAsia="zh-CN"/>
        </w:rPr>
        <w:t>；</w:t>
      </w:r>
    </w:p>
    <w:p w14:paraId="3F7B0978">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rPr>
        <w:t>.解答甲方提出的与项目有关的询问，接受甲方监督和检查</w:t>
      </w:r>
      <w:r>
        <w:rPr>
          <w:rFonts w:hint="eastAsia" w:ascii="仿宋" w:hAnsi="仿宋" w:eastAsia="仿宋" w:cs="仿宋"/>
          <w:color w:val="auto"/>
          <w:sz w:val="20"/>
          <w:szCs w:val="20"/>
          <w:highlight w:val="none"/>
          <w:lang w:eastAsia="zh-CN"/>
        </w:rPr>
        <w:t>；</w:t>
      </w:r>
    </w:p>
    <w:p w14:paraId="33D59CD8">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.乙方应根据本合同的约定提供服务并提交工作成果，确保</w:t>
      </w:r>
      <w:r>
        <w:rPr>
          <w:rFonts w:hint="eastAsia" w:ascii="仿宋" w:hAnsi="仿宋" w:eastAsia="仿宋" w:cs="仿宋"/>
          <w:color w:val="auto"/>
          <w:sz w:val="20"/>
          <w:szCs w:val="20"/>
          <w:highlight w:val="none"/>
          <w:lang w:val="en-US" w:eastAsia="zh-CN"/>
        </w:rPr>
        <w:t>服务</w:t>
      </w:r>
      <w:r>
        <w:rPr>
          <w:rFonts w:hint="eastAsia" w:ascii="仿宋" w:hAnsi="仿宋" w:eastAsia="仿宋" w:cs="仿宋"/>
          <w:color w:val="auto"/>
          <w:sz w:val="20"/>
          <w:szCs w:val="20"/>
          <w:highlight w:val="none"/>
        </w:rPr>
        <w:t>质量</w:t>
      </w:r>
      <w:r>
        <w:rPr>
          <w:rFonts w:hint="eastAsia" w:ascii="仿宋" w:hAnsi="仿宋" w:eastAsia="仿宋" w:cs="仿宋"/>
          <w:color w:val="auto"/>
          <w:sz w:val="20"/>
          <w:szCs w:val="20"/>
          <w:highlight w:val="none"/>
          <w:lang w:eastAsia="zh-CN"/>
        </w:rPr>
        <w:t>；</w:t>
      </w:r>
    </w:p>
    <w:p w14:paraId="68C25DA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5</w:t>
      </w:r>
      <w:r>
        <w:rPr>
          <w:rFonts w:hint="eastAsia" w:ascii="仿宋" w:hAnsi="仿宋" w:eastAsia="仿宋" w:cs="仿宋"/>
          <w:color w:val="auto"/>
          <w:sz w:val="20"/>
          <w:szCs w:val="20"/>
          <w:highlight w:val="none"/>
        </w:rPr>
        <w:t>.乙方人员服务期中发生任何安全问题均与甲方无关</w:t>
      </w:r>
      <w:r>
        <w:rPr>
          <w:rFonts w:hint="eastAsia" w:ascii="仿宋" w:hAnsi="仿宋" w:eastAsia="仿宋" w:cs="仿宋"/>
          <w:color w:val="auto"/>
          <w:sz w:val="20"/>
          <w:szCs w:val="20"/>
          <w:highlight w:val="none"/>
          <w:lang w:eastAsia="zh-CN"/>
        </w:rPr>
        <w:t>；</w:t>
      </w:r>
    </w:p>
    <w:p w14:paraId="69B59C11">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6.乙方对甲方业务应当单独建档，保存完整的工作记录；</w:t>
      </w:r>
    </w:p>
    <w:p w14:paraId="071D9642">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7.乙方应保守甲方业务秘密；</w:t>
      </w:r>
    </w:p>
    <w:p w14:paraId="42579B4B">
      <w:pPr>
        <w:spacing w:line="360" w:lineRule="auto"/>
        <w:ind w:firstLine="400" w:firstLineChars="200"/>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8.乙方应当积极、主动地配合甲方的工作。</w:t>
      </w:r>
    </w:p>
    <w:p w14:paraId="48453E1F">
      <w:pPr>
        <w:pStyle w:val="13"/>
        <w:tabs>
          <w:tab w:val="left" w:pos="1134"/>
          <w:tab w:val="left" w:pos="1418"/>
        </w:tabs>
        <w:adjustRightInd w:val="0"/>
        <w:spacing w:before="120" w:after="120" w:line="360" w:lineRule="auto"/>
        <w:ind w:left="0" w:leftChars="0" w:firstLine="0" w:firstLineChars="0"/>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七、</w:t>
      </w:r>
      <w:r>
        <w:rPr>
          <w:rFonts w:hint="eastAsia" w:ascii="仿宋" w:hAnsi="仿宋" w:eastAsia="仿宋" w:cs="仿宋"/>
          <w:b/>
          <w:color w:val="auto"/>
          <w:sz w:val="20"/>
          <w:szCs w:val="20"/>
          <w:highlight w:val="none"/>
          <w:lang w:val="zh-CN" w:eastAsia="zh-CN"/>
        </w:rPr>
        <w:t>知识产权</w:t>
      </w:r>
    </w:p>
    <w:p w14:paraId="5252EFB3">
      <w:pPr>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1.乙方在为甲方提供服务时所获得或形成成果的知识产权归甲方所有，未经甲方许可，乙方不得以任何方式使用，亦不得出于任何目的向第三方披露或许可第三方使用。</w:t>
      </w:r>
    </w:p>
    <w:p w14:paraId="35E3C9EF">
      <w:pPr>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2.若乙方在为甲方提供服务时侵犯了第三人的权利，致使甲方受到索赔或起诉，由此给甲方造成的一切损失由乙方承担，同时甲方有权解除合同，同时乙方及时消除不良影响。</w:t>
      </w:r>
    </w:p>
    <w:p w14:paraId="2B164FB8">
      <w:pPr>
        <w:spacing w:line="360" w:lineRule="auto"/>
        <w:ind w:firstLine="400" w:firstLineChars="200"/>
        <w:rPr>
          <w:rFonts w:hint="eastAsia" w:ascii="仿宋" w:hAnsi="仿宋" w:eastAsia="仿宋" w:cs="仿宋"/>
          <w:b/>
          <w:color w:val="auto"/>
          <w:sz w:val="20"/>
          <w:szCs w:val="20"/>
          <w:highlight w:val="none"/>
          <w:lang w:val="en-US" w:eastAsia="zh-CN"/>
        </w:rPr>
      </w:pPr>
      <w:r>
        <w:rPr>
          <w:rFonts w:hint="eastAsia" w:ascii="仿宋" w:hAnsi="仿宋" w:eastAsia="仿宋" w:cs="仿宋"/>
          <w:color w:val="auto"/>
          <w:sz w:val="20"/>
          <w:szCs w:val="20"/>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4213335C">
      <w:pPr>
        <w:pStyle w:val="13"/>
        <w:tabs>
          <w:tab w:val="left" w:pos="1134"/>
          <w:tab w:val="left" w:pos="1418"/>
        </w:tabs>
        <w:adjustRightInd w:val="0"/>
        <w:spacing w:before="120" w:after="120" w:line="360" w:lineRule="auto"/>
        <w:ind w:left="0" w:leftChars="0" w:firstLine="0" w:firstLineChars="0"/>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color w:val="auto"/>
          <w:sz w:val="20"/>
          <w:szCs w:val="20"/>
          <w:highlight w:val="none"/>
          <w:lang w:val="en-US" w:eastAsia="zh-CN"/>
        </w:rPr>
        <w:t>八、</w:t>
      </w:r>
      <w:r>
        <w:rPr>
          <w:rFonts w:hint="eastAsia" w:ascii="仿宋" w:hAnsi="仿宋" w:eastAsia="仿宋" w:cs="仿宋"/>
          <w:b/>
          <w:bCs/>
          <w:color w:val="auto"/>
          <w:kern w:val="2"/>
          <w:sz w:val="20"/>
          <w:szCs w:val="20"/>
          <w:highlight w:val="none"/>
          <w:lang w:val="en-US" w:eastAsia="zh-CN" w:bidi="ar-SA"/>
        </w:rPr>
        <w:t>验收</w:t>
      </w:r>
    </w:p>
    <w:p w14:paraId="08F963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验收时间：项目完成后。</w:t>
      </w:r>
    </w:p>
    <w:p w14:paraId="6D5815A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2"/>
          <w:sz w:val="20"/>
          <w:szCs w:val="20"/>
          <w:highlight w:val="none"/>
          <w:lang w:val="en-US" w:eastAsia="zh-CN" w:bidi="ar-SA"/>
        </w:rPr>
        <w:t>质量标准：</w:t>
      </w:r>
      <w:r>
        <w:rPr>
          <w:rFonts w:hint="eastAsia" w:ascii="仿宋" w:hAnsi="仿宋" w:eastAsia="仿宋" w:cs="仿宋"/>
        </w:rPr>
        <w:t>服务期满，经采购人确认合格，确定项目完成</w:t>
      </w:r>
      <w:r>
        <w:rPr>
          <w:rFonts w:hint="eastAsia" w:ascii="仿宋" w:hAnsi="仿宋" w:eastAsia="仿宋" w:cs="仿宋"/>
          <w:color w:val="auto"/>
          <w:kern w:val="2"/>
          <w:sz w:val="20"/>
          <w:szCs w:val="20"/>
          <w:highlight w:val="none"/>
          <w:lang w:val="en-US" w:eastAsia="zh-CN" w:bidi="ar-SA"/>
        </w:rPr>
        <w:t>。</w:t>
      </w:r>
    </w:p>
    <w:p w14:paraId="256F8682">
      <w:pPr>
        <w:pStyle w:val="13"/>
        <w:tabs>
          <w:tab w:val="left" w:pos="1134"/>
          <w:tab w:val="left" w:pos="1418"/>
        </w:tabs>
        <w:adjustRightInd w:val="0"/>
        <w:spacing w:before="120" w:after="120" w:line="360" w:lineRule="auto"/>
        <w:ind w:left="0" w:leftChars="0" w:firstLine="0" w:firstLineChars="0"/>
        <w:rPr>
          <w:rFonts w:hint="eastAsia" w:ascii="仿宋" w:hAnsi="仿宋" w:eastAsia="仿宋" w:cs="仿宋"/>
          <w:b/>
          <w:color w:val="auto"/>
          <w:sz w:val="20"/>
          <w:szCs w:val="20"/>
          <w:highlight w:val="none"/>
          <w:lang w:val="zh-CN" w:eastAsia="zh-CN"/>
        </w:rPr>
      </w:pPr>
      <w:r>
        <w:rPr>
          <w:rFonts w:hint="eastAsia" w:ascii="仿宋" w:hAnsi="仿宋" w:eastAsia="仿宋" w:cs="仿宋"/>
          <w:b/>
          <w:color w:val="auto"/>
          <w:sz w:val="20"/>
          <w:szCs w:val="20"/>
          <w:highlight w:val="none"/>
          <w:lang w:val="en-US" w:eastAsia="zh-CN"/>
        </w:rPr>
        <w:t>九</w:t>
      </w:r>
      <w:r>
        <w:rPr>
          <w:rFonts w:hint="eastAsia" w:ascii="仿宋" w:hAnsi="仿宋" w:eastAsia="仿宋" w:cs="仿宋"/>
          <w:b/>
          <w:color w:val="auto"/>
          <w:sz w:val="20"/>
          <w:szCs w:val="20"/>
          <w:highlight w:val="none"/>
          <w:lang w:val="zh-CN" w:eastAsia="zh-CN"/>
        </w:rPr>
        <w:t>、保密</w:t>
      </w:r>
    </w:p>
    <w:p w14:paraId="6634917F">
      <w:pPr>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1.在本合同的履行期内，乙方获得与本项目相关的信息（包括获得的资料及成果等），应当采取适当有效的方式保护，不得未经授权使用、传播或公开。</w:t>
      </w:r>
    </w:p>
    <w:p w14:paraId="737F745B">
      <w:pPr>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559CF369">
      <w:pPr>
        <w:pStyle w:val="14"/>
        <w:spacing w:before="120" w:after="120" w:line="360" w:lineRule="auto"/>
        <w:ind w:left="0" w:leftChars="0" w:firstLine="0" w:firstLineChars="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十</w:t>
      </w:r>
      <w:r>
        <w:rPr>
          <w:rFonts w:hint="eastAsia" w:ascii="仿宋" w:hAnsi="仿宋" w:eastAsia="仿宋" w:cs="仿宋"/>
          <w:b/>
          <w:bCs/>
          <w:color w:val="auto"/>
          <w:sz w:val="20"/>
          <w:szCs w:val="20"/>
          <w:highlight w:val="none"/>
        </w:rPr>
        <w:t>、不可抗力</w:t>
      </w:r>
    </w:p>
    <w:p w14:paraId="17E93696">
      <w:pPr>
        <w:pStyle w:val="14"/>
        <w:spacing w:line="360" w:lineRule="auto"/>
        <w:ind w:firstLine="480"/>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76E4ED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2.遭受不可抗力一方应在不可抗力事故发生后尽快以书面形式通知另一方；并在事故发生后</w:t>
      </w:r>
      <w:r>
        <w:rPr>
          <w:rFonts w:hint="eastAsia" w:ascii="仿宋" w:hAnsi="仿宋" w:eastAsia="仿宋" w:cs="仿宋"/>
          <w:color w:val="auto"/>
          <w:sz w:val="20"/>
          <w:szCs w:val="20"/>
          <w:highlight w:val="none"/>
          <w:u w:val="single"/>
        </w:rPr>
        <w:t>十（10）</w:t>
      </w:r>
      <w:r>
        <w:rPr>
          <w:rFonts w:hint="eastAsia" w:ascii="仿宋" w:hAnsi="仿宋" w:eastAsia="仿宋" w:cs="仿宋"/>
          <w:color w:val="auto"/>
          <w:sz w:val="20"/>
          <w:szCs w:val="20"/>
          <w:highlight w:val="none"/>
        </w:rPr>
        <w:t>个日历日内，将有关部门出具的证明文件、详细情况报告以及不可抗力对合同影响程度的说明用特快专递或挂号信的形式寄给另一方。如果不可抗力影响时间延续</w:t>
      </w:r>
      <w:r>
        <w:rPr>
          <w:rFonts w:hint="eastAsia" w:ascii="仿宋" w:hAnsi="仿宋" w:eastAsia="仿宋" w:cs="仿宋"/>
          <w:color w:val="auto"/>
          <w:sz w:val="20"/>
          <w:szCs w:val="20"/>
          <w:highlight w:val="none"/>
          <w:u w:val="single"/>
        </w:rPr>
        <w:t>二十（20）</w:t>
      </w:r>
      <w:r>
        <w:rPr>
          <w:rFonts w:hint="eastAsia" w:ascii="仿宋" w:hAnsi="仿宋" w:eastAsia="仿宋" w:cs="仿宋"/>
          <w:color w:val="auto"/>
          <w:sz w:val="20"/>
          <w:szCs w:val="20"/>
          <w:highlight w:val="none"/>
        </w:rPr>
        <w:t>个日历日以上，双方应通过友好协商在合理的时间内达成进一步履行合同或终止合同的协议。</w:t>
      </w:r>
    </w:p>
    <w:p w14:paraId="1D952000">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十一</w:t>
      </w:r>
      <w:r>
        <w:rPr>
          <w:rFonts w:hint="eastAsia" w:ascii="仿宋" w:hAnsi="仿宋" w:eastAsia="仿宋" w:cs="仿宋"/>
          <w:b/>
          <w:bCs/>
          <w:color w:val="auto"/>
          <w:sz w:val="20"/>
          <w:szCs w:val="20"/>
          <w:highlight w:val="none"/>
        </w:rPr>
        <w:t>、税费</w:t>
      </w:r>
    </w:p>
    <w:p w14:paraId="511F9A2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1.中国政府根据现行税法对乙方征收的与本合同有关的一切税费均由乙方负担。</w:t>
      </w:r>
    </w:p>
    <w:p w14:paraId="474DB1C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2.在中国境外发生的与本合同执行有关的一切税费均由乙方负担。</w:t>
      </w:r>
    </w:p>
    <w:p w14:paraId="1F32D3E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3.中国政府依据现行税法对甲方征收的与本合同有关的一切税费均由甲方负担。</w:t>
      </w:r>
    </w:p>
    <w:p w14:paraId="29C18A1F">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二</w:t>
      </w:r>
      <w:r>
        <w:rPr>
          <w:rFonts w:hint="eastAsia" w:ascii="仿宋" w:hAnsi="仿宋" w:eastAsia="仿宋" w:cs="仿宋"/>
          <w:b/>
          <w:bCs/>
          <w:color w:val="auto"/>
          <w:sz w:val="20"/>
          <w:szCs w:val="20"/>
          <w:highlight w:val="none"/>
        </w:rPr>
        <w:t>、破产终止合同</w:t>
      </w:r>
    </w:p>
    <w:p w14:paraId="260ACE1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当乙方破产或无供货（或提供服务）能力时，甲方可在任何时候以书面形式通知乙方单方解除合同；并且该终止合同不损害或不影响甲方已采取或将采取补救措施的权利。</w:t>
      </w:r>
    </w:p>
    <w:p w14:paraId="1F2A05A7">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三</w:t>
      </w:r>
      <w:r>
        <w:rPr>
          <w:rFonts w:hint="eastAsia" w:ascii="仿宋" w:hAnsi="仿宋" w:eastAsia="仿宋" w:cs="仿宋"/>
          <w:b/>
          <w:bCs/>
          <w:color w:val="auto"/>
          <w:sz w:val="20"/>
          <w:szCs w:val="20"/>
          <w:highlight w:val="none"/>
        </w:rPr>
        <w:t>、转让</w:t>
      </w:r>
    </w:p>
    <w:p w14:paraId="3786D8E7">
      <w:pPr>
        <w:spacing w:line="360" w:lineRule="auto"/>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未经甲方事先书面同意，乙方不得部分转让或全部转让其应履行的合同义务。乙方擅自转让自身合同义务，甲方有权单方解除合同，并要求乙方赔偿因此产生的一切损失。</w:t>
      </w:r>
    </w:p>
    <w:p w14:paraId="1B8F37D6">
      <w:pPr>
        <w:spacing w:before="120" w:after="120" w:line="360" w:lineRule="auto"/>
        <w:rPr>
          <w:rFonts w:hint="eastAsia" w:ascii="仿宋" w:hAnsi="仿宋" w:eastAsia="仿宋" w:cs="仿宋"/>
          <w:b/>
          <w:bCs/>
          <w:color w:val="auto"/>
          <w:sz w:val="20"/>
          <w:szCs w:val="20"/>
          <w:highlight w:val="none"/>
          <w:lang w:val="zh-CN"/>
        </w:rPr>
      </w:pPr>
      <w:r>
        <w:rPr>
          <w:rFonts w:hint="eastAsia" w:ascii="仿宋" w:hAnsi="仿宋" w:eastAsia="仿宋" w:cs="仿宋"/>
          <w:b/>
          <w:bCs/>
          <w:color w:val="auto"/>
          <w:sz w:val="20"/>
          <w:szCs w:val="20"/>
          <w:highlight w:val="none"/>
          <w:lang w:val="zh-CN"/>
        </w:rPr>
        <w:t>十</w:t>
      </w:r>
      <w:r>
        <w:rPr>
          <w:rFonts w:hint="eastAsia" w:ascii="仿宋" w:hAnsi="仿宋" w:eastAsia="仿宋" w:cs="仿宋"/>
          <w:b/>
          <w:bCs/>
          <w:color w:val="auto"/>
          <w:sz w:val="20"/>
          <w:szCs w:val="20"/>
          <w:highlight w:val="none"/>
          <w:lang w:val="en-US" w:eastAsia="zh-CN"/>
        </w:rPr>
        <w:t>四</w:t>
      </w:r>
      <w:r>
        <w:rPr>
          <w:rFonts w:hint="eastAsia" w:ascii="仿宋" w:hAnsi="仿宋" w:eastAsia="仿宋" w:cs="仿宋"/>
          <w:b/>
          <w:bCs/>
          <w:color w:val="auto"/>
          <w:sz w:val="20"/>
          <w:szCs w:val="20"/>
          <w:highlight w:val="none"/>
          <w:lang w:val="zh-CN"/>
        </w:rPr>
        <w:t>、违约责任</w:t>
      </w:r>
    </w:p>
    <w:p w14:paraId="53200B00">
      <w:pPr>
        <w:pStyle w:val="13"/>
        <w:widowControl w:val="0"/>
        <w:tabs>
          <w:tab w:val="left" w:pos="1134"/>
          <w:tab w:val="left" w:pos="1418"/>
        </w:tabs>
        <w:adjustRightInd w:val="0"/>
        <w:spacing w:line="360" w:lineRule="auto"/>
        <w:ind w:left="0"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1.按《中华人民共和国民法典》中的相关条款执行。</w:t>
      </w:r>
    </w:p>
    <w:p w14:paraId="6B1018AF">
      <w:pPr>
        <w:spacing w:line="360" w:lineRule="auto"/>
        <w:ind w:firstLine="400" w:firstLineChars="20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lang w:val="en-US" w:eastAsia="zh-CN"/>
        </w:rPr>
        <w:t>2.合同签</w:t>
      </w:r>
      <w:r>
        <w:rPr>
          <w:rFonts w:hint="eastAsia" w:ascii="仿宋" w:hAnsi="仿宋" w:eastAsia="仿宋" w:cs="仿宋"/>
          <w:color w:val="auto"/>
          <w:kern w:val="0"/>
          <w:sz w:val="20"/>
          <w:szCs w:val="20"/>
          <w:highlight w:val="none"/>
          <w:lang w:eastAsia="zh-CN"/>
        </w:rPr>
        <w:t>订后，如乙方擅自中途停止或解除合同，乙方应向甲方</w:t>
      </w:r>
      <w:r>
        <w:rPr>
          <w:rFonts w:hint="eastAsia" w:ascii="仿宋" w:hAnsi="仿宋" w:eastAsia="仿宋" w:cs="仿宋"/>
          <w:color w:val="auto"/>
          <w:kern w:val="0"/>
          <w:sz w:val="20"/>
          <w:szCs w:val="20"/>
          <w:highlight w:val="none"/>
          <w:lang w:val="en-US" w:eastAsia="zh-CN"/>
        </w:rPr>
        <w:t>赔偿1.5倍的首次付款</w:t>
      </w:r>
      <w:r>
        <w:rPr>
          <w:rFonts w:hint="eastAsia" w:ascii="仿宋" w:hAnsi="仿宋" w:eastAsia="仿宋" w:cs="仿宋"/>
          <w:color w:val="auto"/>
          <w:kern w:val="0"/>
          <w:sz w:val="20"/>
          <w:szCs w:val="20"/>
          <w:highlight w:val="none"/>
          <w:lang w:eastAsia="zh-CN"/>
        </w:rPr>
        <w:t>。</w:t>
      </w:r>
    </w:p>
    <w:p w14:paraId="242531D7">
      <w:pPr>
        <w:spacing w:line="360" w:lineRule="auto"/>
        <w:ind w:firstLine="400" w:firstLineChars="20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lang w:val="en-US" w:eastAsia="zh-CN"/>
        </w:rPr>
        <w:t>3.</w:t>
      </w:r>
      <w:r>
        <w:rPr>
          <w:rFonts w:hint="eastAsia" w:ascii="仿宋" w:hAnsi="仿宋" w:eastAsia="仿宋" w:cs="仿宋"/>
          <w:color w:val="auto"/>
          <w:kern w:val="0"/>
          <w:sz w:val="20"/>
          <w:szCs w:val="20"/>
          <w:highlight w:val="none"/>
          <w:lang w:eastAsia="zh-CN"/>
        </w:rPr>
        <w:t>服务实施过程中，乙方未按</w:t>
      </w:r>
      <w:r>
        <w:rPr>
          <w:rFonts w:hint="eastAsia" w:ascii="仿宋" w:hAnsi="仿宋" w:eastAsia="仿宋" w:cs="仿宋"/>
          <w:color w:val="auto"/>
          <w:kern w:val="0"/>
          <w:sz w:val="20"/>
          <w:szCs w:val="20"/>
          <w:highlight w:val="none"/>
          <w:lang w:val="en-US" w:eastAsia="zh-CN"/>
        </w:rPr>
        <w:t>投标</w:t>
      </w:r>
      <w:r>
        <w:rPr>
          <w:rFonts w:hint="eastAsia" w:ascii="仿宋" w:hAnsi="仿宋" w:eastAsia="仿宋" w:cs="仿宋"/>
          <w:color w:val="auto"/>
          <w:kern w:val="0"/>
          <w:sz w:val="20"/>
          <w:szCs w:val="20"/>
          <w:highlight w:val="none"/>
          <w:lang w:eastAsia="zh-CN"/>
        </w:rPr>
        <w:t>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347FCCC4">
      <w:pPr>
        <w:spacing w:line="360" w:lineRule="auto"/>
        <w:ind w:firstLine="400" w:firstLineChars="20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lang w:val="en-US" w:eastAsia="zh-CN"/>
        </w:rPr>
        <w:t>4.</w:t>
      </w:r>
      <w:r>
        <w:rPr>
          <w:rFonts w:hint="eastAsia" w:ascii="仿宋" w:hAnsi="仿宋" w:eastAsia="仿宋" w:cs="仿宋"/>
          <w:color w:val="auto"/>
          <w:kern w:val="0"/>
          <w:sz w:val="20"/>
          <w:szCs w:val="20"/>
          <w:highlight w:val="none"/>
          <w:lang w:eastAsia="zh-CN"/>
        </w:rPr>
        <w:t>乙方不得将本项目的任何部分转包或分包给其他任何单位和个人。若擅自转包或分包本合同标的，甲方有权解除合同，并可要求乙方偿付</w:t>
      </w:r>
      <w:r>
        <w:rPr>
          <w:rFonts w:hint="eastAsia" w:ascii="仿宋" w:hAnsi="仿宋" w:eastAsia="仿宋" w:cs="仿宋"/>
          <w:color w:val="auto"/>
          <w:kern w:val="0"/>
          <w:sz w:val="20"/>
          <w:szCs w:val="20"/>
          <w:highlight w:val="none"/>
          <w:lang w:val="en-US" w:eastAsia="zh-CN"/>
        </w:rPr>
        <w:t>服务</w:t>
      </w:r>
      <w:r>
        <w:rPr>
          <w:rFonts w:hint="eastAsia" w:ascii="仿宋" w:hAnsi="仿宋" w:eastAsia="仿宋" w:cs="仿宋"/>
          <w:color w:val="auto"/>
          <w:kern w:val="0"/>
          <w:sz w:val="20"/>
          <w:szCs w:val="20"/>
          <w:highlight w:val="none"/>
          <w:lang w:eastAsia="zh-CN"/>
        </w:rPr>
        <w:t>费30%的违约金，同时追究其法律责任。</w:t>
      </w:r>
    </w:p>
    <w:p w14:paraId="7B2A274B">
      <w:pPr>
        <w:spacing w:line="360" w:lineRule="auto"/>
        <w:ind w:firstLine="400" w:firstLineChars="20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5.乙方承诺有信息系统的，中标后实际未对接陕西省抽查系统数据端口的，扣除中标价1%的抽查经费；乙方无信息系统的，未按照承诺完成任务的，每延误要求的时间一天，扣除中标价0.2%的抽查经费，总扣除不超过2%。</w:t>
      </w:r>
    </w:p>
    <w:p w14:paraId="5F733C25">
      <w:pPr>
        <w:spacing w:line="360" w:lineRule="auto"/>
        <w:ind w:firstLine="400" w:firstLineChars="20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6.乙方对接系统后，每延误要求的工作时间一天，扣除中标价0.1%的抽查经费，总扣除不超过1%。</w:t>
      </w:r>
    </w:p>
    <w:p w14:paraId="308B1053">
      <w:pPr>
        <w:spacing w:line="360" w:lineRule="auto"/>
        <w:ind w:firstLine="400" w:firstLineChars="200"/>
        <w:rPr>
          <w:rFonts w:hint="default"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7.乙方配备一名人员负责操作陕西省抽查系统并配合做好质量监督抽查结果处理等工作，如实际工作时未做到，将扣除中标价1%的抽查经费。</w:t>
      </w:r>
    </w:p>
    <w:p w14:paraId="12870335">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五</w:t>
      </w:r>
      <w:r>
        <w:rPr>
          <w:rFonts w:hint="eastAsia" w:ascii="仿宋" w:hAnsi="仿宋" w:eastAsia="仿宋" w:cs="仿宋"/>
          <w:b/>
          <w:bCs/>
          <w:color w:val="auto"/>
          <w:sz w:val="20"/>
          <w:szCs w:val="20"/>
          <w:highlight w:val="none"/>
        </w:rPr>
        <w:t>、合同争议和解决办法</w:t>
      </w:r>
    </w:p>
    <w:p w14:paraId="58CF578F">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34B8738A">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六</w:t>
      </w:r>
      <w:r>
        <w:rPr>
          <w:rFonts w:hint="eastAsia" w:ascii="仿宋" w:hAnsi="仿宋" w:eastAsia="仿宋" w:cs="仿宋"/>
          <w:b/>
          <w:bCs/>
          <w:color w:val="auto"/>
          <w:sz w:val="20"/>
          <w:szCs w:val="20"/>
          <w:highlight w:val="none"/>
        </w:rPr>
        <w:t>、其他事项</w:t>
      </w:r>
    </w:p>
    <w:p w14:paraId="6D0C6C78">
      <w:pPr>
        <w:spacing w:line="360" w:lineRule="auto"/>
        <w:ind w:firstLine="400" w:firstLineChars="200"/>
        <w:rPr>
          <w:rFonts w:hint="eastAsia" w:ascii="仿宋" w:hAnsi="仿宋" w:eastAsia="仿宋" w:cs="仿宋"/>
          <w:b w:val="0"/>
          <w:bCs w:val="0"/>
          <w:color w:val="auto"/>
          <w:kern w:val="0"/>
          <w:sz w:val="20"/>
          <w:szCs w:val="20"/>
          <w:highlight w:val="none"/>
          <w:lang w:val="en-US" w:eastAsia="zh-CN"/>
        </w:rPr>
      </w:pPr>
      <w:r>
        <w:rPr>
          <w:rFonts w:hint="eastAsia" w:ascii="仿宋" w:hAnsi="仿宋" w:eastAsia="仿宋" w:cs="仿宋"/>
          <w:color w:val="auto"/>
          <w:sz w:val="20"/>
          <w:szCs w:val="20"/>
          <w:highlight w:val="none"/>
        </w:rPr>
        <w:t>1.</w:t>
      </w:r>
      <w:r>
        <w:rPr>
          <w:rFonts w:hint="eastAsia" w:ascii="仿宋" w:hAnsi="仿宋" w:eastAsia="仿宋" w:cs="仿宋"/>
          <w:b w:val="0"/>
          <w:bCs w:val="0"/>
          <w:color w:val="auto"/>
          <w:kern w:val="0"/>
          <w:sz w:val="20"/>
          <w:szCs w:val="20"/>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45CBC5E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b w:val="0"/>
          <w:bCs w:val="0"/>
          <w:color w:val="auto"/>
          <w:kern w:val="0"/>
          <w:sz w:val="20"/>
          <w:szCs w:val="20"/>
          <w:highlight w:val="none"/>
          <w:lang w:val="en-US" w:eastAsia="zh-CN"/>
        </w:rPr>
        <w:t>2.</w:t>
      </w:r>
      <w:r>
        <w:rPr>
          <w:rFonts w:hint="eastAsia" w:ascii="仿宋" w:hAnsi="仿宋" w:eastAsia="仿宋" w:cs="仿宋"/>
          <w:color w:val="auto"/>
          <w:sz w:val="20"/>
          <w:szCs w:val="20"/>
          <w:highlight w:val="none"/>
        </w:rPr>
        <w:t>未尽事宜，双方协商解决。在本合同履行过程中将双方达成的书面补充协议是本合同不可分割的组成部分，与本合同具有同等效力。</w:t>
      </w:r>
    </w:p>
    <w:p w14:paraId="503A460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rPr>
        <w:t>.本合同正本一式</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份，副本一式</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份，均以中文书写，在双方代表签字盖章后生效，甲方执正本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份、副本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份；乙方执正本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份，副本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份；政府采购管理部门备案副本一份，均具有同等法律效力。</w:t>
      </w:r>
    </w:p>
    <w:p w14:paraId="76F9FA0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.本合同自双方签字盖章之日起生效，合同执行完毕自动失效（合同的服务承诺长期有效）。</w:t>
      </w:r>
    </w:p>
    <w:tbl>
      <w:tblPr>
        <w:tblStyle w:val="9"/>
        <w:tblpPr w:leftFromText="180" w:rightFromText="180" w:vertAnchor="text" w:horzAnchor="page" w:tblpXSpec="center" w:tblpY="1176"/>
        <w:tblOverlap w:val="never"/>
        <w:tblW w:w="8403" w:type="dxa"/>
        <w:jc w:val="center"/>
        <w:tblLayout w:type="fixed"/>
        <w:tblCellMar>
          <w:top w:w="0" w:type="dxa"/>
          <w:left w:w="108" w:type="dxa"/>
          <w:bottom w:w="0" w:type="dxa"/>
          <w:right w:w="108" w:type="dxa"/>
        </w:tblCellMar>
      </w:tblPr>
      <w:tblGrid>
        <w:gridCol w:w="4201"/>
        <w:gridCol w:w="4202"/>
      </w:tblGrid>
      <w:tr w14:paraId="622D3521">
        <w:tblPrEx>
          <w:tblCellMar>
            <w:top w:w="0" w:type="dxa"/>
            <w:left w:w="108" w:type="dxa"/>
            <w:bottom w:w="0" w:type="dxa"/>
            <w:right w:w="108" w:type="dxa"/>
          </w:tblCellMar>
        </w:tblPrEx>
        <w:trPr>
          <w:trHeight w:val="484" w:hRule="exact"/>
          <w:jc w:val="center"/>
        </w:trPr>
        <w:tc>
          <w:tcPr>
            <w:tcW w:w="4201" w:type="dxa"/>
            <w:vAlign w:val="center"/>
          </w:tcPr>
          <w:p w14:paraId="58D51BA5">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甲方</w:t>
            </w:r>
          </w:p>
        </w:tc>
        <w:tc>
          <w:tcPr>
            <w:tcW w:w="4202" w:type="dxa"/>
            <w:vAlign w:val="center"/>
          </w:tcPr>
          <w:p w14:paraId="5E2B4C49">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乙方</w:t>
            </w:r>
          </w:p>
        </w:tc>
      </w:tr>
      <w:tr w14:paraId="5A5793D4">
        <w:tblPrEx>
          <w:tblCellMar>
            <w:top w:w="0" w:type="dxa"/>
            <w:left w:w="108" w:type="dxa"/>
            <w:bottom w:w="0" w:type="dxa"/>
            <w:right w:w="108" w:type="dxa"/>
          </w:tblCellMar>
        </w:tblPrEx>
        <w:trPr>
          <w:trHeight w:val="467" w:hRule="exact"/>
          <w:jc w:val="center"/>
        </w:trPr>
        <w:tc>
          <w:tcPr>
            <w:tcW w:w="4201" w:type="dxa"/>
            <w:vAlign w:val="center"/>
          </w:tcPr>
          <w:p w14:paraId="439705FC">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（盖章）</w:t>
            </w:r>
          </w:p>
        </w:tc>
        <w:tc>
          <w:tcPr>
            <w:tcW w:w="4202" w:type="dxa"/>
            <w:vAlign w:val="center"/>
          </w:tcPr>
          <w:p w14:paraId="24F85C36">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（盖章）</w:t>
            </w:r>
          </w:p>
        </w:tc>
      </w:tr>
      <w:tr w14:paraId="419AAB48">
        <w:tblPrEx>
          <w:tblCellMar>
            <w:top w:w="0" w:type="dxa"/>
            <w:left w:w="108" w:type="dxa"/>
            <w:bottom w:w="0" w:type="dxa"/>
            <w:right w:w="108" w:type="dxa"/>
          </w:tblCellMar>
        </w:tblPrEx>
        <w:trPr>
          <w:trHeight w:val="501" w:hRule="exact"/>
          <w:jc w:val="center"/>
        </w:trPr>
        <w:tc>
          <w:tcPr>
            <w:tcW w:w="4201" w:type="dxa"/>
            <w:vAlign w:val="center"/>
          </w:tcPr>
          <w:p w14:paraId="05373A08">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p>
        </w:tc>
        <w:tc>
          <w:tcPr>
            <w:tcW w:w="4202" w:type="dxa"/>
            <w:vAlign w:val="center"/>
          </w:tcPr>
          <w:p w14:paraId="1AB80E3D">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p>
        </w:tc>
      </w:tr>
      <w:tr w14:paraId="27E08C50">
        <w:tblPrEx>
          <w:tblCellMar>
            <w:top w:w="0" w:type="dxa"/>
            <w:left w:w="108" w:type="dxa"/>
            <w:bottom w:w="0" w:type="dxa"/>
            <w:right w:w="108" w:type="dxa"/>
          </w:tblCellMar>
        </w:tblPrEx>
        <w:trPr>
          <w:trHeight w:val="450" w:hRule="exact"/>
          <w:jc w:val="center"/>
        </w:trPr>
        <w:tc>
          <w:tcPr>
            <w:tcW w:w="4201" w:type="dxa"/>
            <w:vAlign w:val="center"/>
          </w:tcPr>
          <w:p w14:paraId="697E8135">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tc>
        <w:tc>
          <w:tcPr>
            <w:tcW w:w="4202" w:type="dxa"/>
            <w:vAlign w:val="center"/>
          </w:tcPr>
          <w:p w14:paraId="15D797B6">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tc>
      </w:tr>
      <w:tr w14:paraId="5E7A2016">
        <w:tblPrEx>
          <w:tblCellMar>
            <w:top w:w="0" w:type="dxa"/>
            <w:left w:w="108" w:type="dxa"/>
            <w:bottom w:w="0" w:type="dxa"/>
            <w:right w:w="108" w:type="dxa"/>
          </w:tblCellMar>
        </w:tblPrEx>
        <w:trPr>
          <w:trHeight w:val="533" w:hRule="exact"/>
          <w:jc w:val="center"/>
        </w:trPr>
        <w:tc>
          <w:tcPr>
            <w:tcW w:w="4201" w:type="dxa"/>
            <w:vAlign w:val="center"/>
          </w:tcPr>
          <w:p w14:paraId="56F432D6">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4202" w:type="dxa"/>
            <w:vAlign w:val="center"/>
          </w:tcPr>
          <w:p w14:paraId="3B3AA3C9">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r>
      <w:tr w14:paraId="637D0101">
        <w:tblPrEx>
          <w:tblCellMar>
            <w:top w:w="0" w:type="dxa"/>
            <w:left w:w="108" w:type="dxa"/>
            <w:bottom w:w="0" w:type="dxa"/>
            <w:right w:w="108" w:type="dxa"/>
          </w:tblCellMar>
        </w:tblPrEx>
        <w:trPr>
          <w:trHeight w:val="533" w:hRule="exact"/>
          <w:jc w:val="center"/>
        </w:trPr>
        <w:tc>
          <w:tcPr>
            <w:tcW w:w="4201" w:type="dxa"/>
            <w:vAlign w:val="center"/>
          </w:tcPr>
          <w:p w14:paraId="6361175A">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p>
        </w:tc>
        <w:tc>
          <w:tcPr>
            <w:tcW w:w="4202" w:type="dxa"/>
            <w:vAlign w:val="center"/>
          </w:tcPr>
          <w:p w14:paraId="64E10FBC">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p>
        </w:tc>
      </w:tr>
      <w:tr w14:paraId="0B510D66">
        <w:tblPrEx>
          <w:tblCellMar>
            <w:top w:w="0" w:type="dxa"/>
            <w:left w:w="108" w:type="dxa"/>
            <w:bottom w:w="0" w:type="dxa"/>
            <w:right w:w="108" w:type="dxa"/>
          </w:tblCellMar>
        </w:tblPrEx>
        <w:trPr>
          <w:trHeight w:val="500" w:hRule="exact"/>
          <w:jc w:val="center"/>
        </w:trPr>
        <w:tc>
          <w:tcPr>
            <w:tcW w:w="4201" w:type="dxa"/>
            <w:vAlign w:val="center"/>
          </w:tcPr>
          <w:p w14:paraId="48FFD2A0">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4202" w:type="dxa"/>
            <w:vAlign w:val="center"/>
          </w:tcPr>
          <w:p w14:paraId="62D04F44">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r>
      <w:tr w14:paraId="0CF49A14">
        <w:tblPrEx>
          <w:tblCellMar>
            <w:top w:w="0" w:type="dxa"/>
            <w:left w:w="108" w:type="dxa"/>
            <w:bottom w:w="0" w:type="dxa"/>
            <w:right w:w="108" w:type="dxa"/>
          </w:tblCellMar>
        </w:tblPrEx>
        <w:trPr>
          <w:trHeight w:val="467" w:hRule="exact"/>
          <w:jc w:val="center"/>
        </w:trPr>
        <w:tc>
          <w:tcPr>
            <w:tcW w:w="4201" w:type="dxa"/>
            <w:vAlign w:val="center"/>
          </w:tcPr>
          <w:p w14:paraId="1BD1B31B">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传真：</w:t>
            </w:r>
          </w:p>
        </w:tc>
        <w:tc>
          <w:tcPr>
            <w:tcW w:w="4202" w:type="dxa"/>
            <w:vAlign w:val="center"/>
          </w:tcPr>
          <w:p w14:paraId="5F76C192">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传真：</w:t>
            </w:r>
          </w:p>
        </w:tc>
      </w:tr>
      <w:tr w14:paraId="35CA31BE">
        <w:tblPrEx>
          <w:tblCellMar>
            <w:top w:w="0" w:type="dxa"/>
            <w:left w:w="108" w:type="dxa"/>
            <w:bottom w:w="0" w:type="dxa"/>
            <w:right w:w="108" w:type="dxa"/>
          </w:tblCellMar>
        </w:tblPrEx>
        <w:trPr>
          <w:trHeight w:val="567" w:hRule="exact"/>
          <w:jc w:val="center"/>
        </w:trPr>
        <w:tc>
          <w:tcPr>
            <w:tcW w:w="4201" w:type="dxa"/>
            <w:vAlign w:val="center"/>
          </w:tcPr>
          <w:p w14:paraId="40608646">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4202" w:type="dxa"/>
            <w:vAlign w:val="center"/>
          </w:tcPr>
          <w:p w14:paraId="1BEDA65A">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r>
      <w:tr w14:paraId="27AF93F7">
        <w:tblPrEx>
          <w:tblCellMar>
            <w:top w:w="0" w:type="dxa"/>
            <w:left w:w="108" w:type="dxa"/>
            <w:bottom w:w="0" w:type="dxa"/>
            <w:right w:w="108" w:type="dxa"/>
          </w:tblCellMar>
        </w:tblPrEx>
        <w:trPr>
          <w:trHeight w:val="567" w:hRule="exact"/>
          <w:jc w:val="center"/>
        </w:trPr>
        <w:tc>
          <w:tcPr>
            <w:tcW w:w="4201" w:type="dxa"/>
            <w:vAlign w:val="center"/>
          </w:tcPr>
          <w:p w14:paraId="144221D6">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w:t>
            </w:r>
          </w:p>
        </w:tc>
        <w:tc>
          <w:tcPr>
            <w:tcW w:w="4202" w:type="dxa"/>
            <w:vAlign w:val="center"/>
          </w:tcPr>
          <w:p w14:paraId="464A92D2">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w:t>
            </w:r>
          </w:p>
        </w:tc>
      </w:tr>
    </w:tbl>
    <w:p w14:paraId="44969CCA"/>
    <w:p w14:paraId="045D735B">
      <w:pPr>
        <w:pStyle w:val="12"/>
        <w:rPr>
          <w:rFonts w:hint="eastAsia" w:ascii="仿宋" w:hAnsi="仿宋" w:eastAsia="仿宋" w:cs="仿宋"/>
          <w:highlight w:val="none"/>
          <w:lang w:val="en-US" w:eastAsia="zh-CN"/>
        </w:rPr>
      </w:pPr>
    </w:p>
    <w:p w14:paraId="28657351">
      <w:pPr>
        <w:pStyle w:val="12"/>
        <w:numPr>
          <w:ilvl w:val="0"/>
          <w:numId w:val="0"/>
        </w:numPr>
        <w:jc w:val="both"/>
        <w:outlineLvl w:val="1"/>
        <w:rPr>
          <w:rFonts w:hint="eastAsia" w:ascii="仿宋_GB2312" w:hAnsi="仿宋_GB2312" w:eastAsia="仿宋_GB2312" w:cs="仿宋_GB2312"/>
          <w:b/>
          <w:sz w:val="36"/>
        </w:rPr>
      </w:pPr>
    </w:p>
    <w:p w14:paraId="4CE11F31">
      <w:pPr>
        <w:pStyle w:val="12"/>
        <w:rPr>
          <w:rFonts w:hint="eastAsia" w:ascii="仿宋" w:hAnsi="仿宋" w:eastAsia="仿宋" w:cs="仿宋"/>
          <w:lang w:val="en-US" w:eastAsia="zh-CN"/>
        </w:rPr>
      </w:pPr>
    </w:p>
    <w:p w14:paraId="2564C38F">
      <w:pPr>
        <w:spacing w:line="240" w:lineRule="auto"/>
        <w:rPr>
          <w:rFonts w:hint="eastAsia" w:ascii="宋体" w:hAnsi="宋体" w:eastAsia="宋体" w:cs="宋体"/>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2B572E6E"/>
    <w:rsid w:val="13D6651E"/>
    <w:rsid w:val="212261D8"/>
    <w:rsid w:val="2B572E6E"/>
    <w:rsid w:val="2C5B4E55"/>
    <w:rsid w:val="315011C0"/>
    <w:rsid w:val="54C83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10">
    <w:name w:val="Default Paragraph Font"/>
    <w:semiHidden/>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1"/>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spacing w:line="640" w:lineRule="exact"/>
      <w:ind w:firstLine="585"/>
    </w:pPr>
    <w:rPr>
      <w:rFonts w:ascii="楷体_GB2312" w:eastAsia="楷体_GB2312"/>
      <w:sz w:val="32"/>
    </w:rPr>
  </w:style>
  <w:style w:type="paragraph" w:styleId="6">
    <w:name w:val="Body Text"/>
    <w:basedOn w:val="1"/>
    <w:next w:val="1"/>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7">
    <w:name w:val="Plain Text"/>
    <w:basedOn w:val="1"/>
    <w:next w:val="1"/>
    <w:qFormat/>
    <w:uiPriority w:val="0"/>
    <w:rPr>
      <w:rFonts w:ascii="宋体" w:hAnsi="Courier New" w:cs="Courier New"/>
      <w:szCs w:val="21"/>
    </w:rPr>
  </w:style>
  <w:style w:type="paragraph" w:styleId="8">
    <w:name w:val="footer"/>
    <w:basedOn w:val="1"/>
    <w:next w:val="6"/>
    <w:unhideWhenUsed/>
    <w:qFormat/>
    <w:uiPriority w:val="99"/>
    <w:pPr>
      <w:tabs>
        <w:tab w:val="center" w:pos="4153"/>
        <w:tab w:val="right" w:pos="8306"/>
      </w:tabs>
      <w:snapToGrid w:val="0"/>
      <w:spacing w:line="240" w:lineRule="atLeast"/>
    </w:pPr>
    <w:rPr>
      <w:sz w:val="18"/>
      <w:szCs w:val="18"/>
    </w:rPr>
  </w:style>
  <w:style w:type="paragraph" w:customStyle="1" w:styleId="1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 w:type="paragraph" w:customStyle="1" w:styleId="14">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1895</Words>
  <Characters>1948</Characters>
  <Lines>0</Lines>
  <Paragraphs>0</Paragraphs>
  <TotalTime>0</TotalTime>
  <ScaleCrop>false</ScaleCrop>
  <LinksUpToDate>false</LinksUpToDate>
  <CharactersWithSpaces>2090</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2024-02-06T09:01:00Z</dcterms:created>
  <dc:creator>Dreamer</dc:creator>
  <cp:lastModifiedBy>WPS</cp:lastModifiedBy>
  <dcterms:modified xsi:type="dcterms:W3CDTF">2025-04-14T01:52:33Z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4033D961DDD442C3ACCE378AAB6813DD_11</vt:lpwstr>
  </property>
  <property fmtid="{D5CDD505-2E9C-101B-9397-08002B2CF9AE}" pid="4" name="KSOTemplateDocerSaveRecord">
    <vt:lpwstr>eyJoZGlkIjoiYTczZDZkMjJjYmIzYTgzMjIyNDIyODU5M2E1YjNlNGQifQ==</vt:lpwstr>
  </property>
</Properties>
</file>