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版本号：DQA-20250012-CS20250421002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办案和专业技术用房信息化项目配套服务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DQA-20250012-CS</w:t>
      </w:r>
      <w:r>
        <w:br/>
      </w:r>
      <w:r>
        <w:br/>
      </w:r>
      <w:r>
        <w:br/>
      </w:r>
    </w:p>
    <w:p>
      <w:pPr>
        <w:pStyle w:val="null3"/>
        <w:jc w:val="center"/>
        <w:outlineLvl w:val="2"/>
      </w:pPr>
      <w:r>
        <w:rPr>
          <w:rFonts w:ascii="仿宋_GB2312" w:hAnsi="仿宋_GB2312" w:cs="仿宋_GB2312" w:eastAsia="仿宋_GB2312"/>
          <w:sz w:val="28"/>
          <w:b/>
        </w:rPr>
        <w:t>安康铁路运输检察院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安康铁路运输检察院</w:t>
      </w:r>
      <w:r>
        <w:rPr>
          <w:rFonts w:ascii="仿宋_GB2312" w:hAnsi="仿宋_GB2312" w:cs="仿宋_GB2312" w:eastAsia="仿宋_GB2312"/>
        </w:rPr>
        <w:t>委托，拟对</w:t>
      </w:r>
      <w:r>
        <w:rPr>
          <w:rFonts w:ascii="仿宋_GB2312" w:hAnsi="仿宋_GB2312" w:cs="仿宋_GB2312" w:eastAsia="仿宋_GB2312"/>
        </w:rPr>
        <w:t>办案和专业技术用房信息化项目配套服务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DQA-20250012-CS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办案和专业技术用房信息化项目配套服务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1.陕西省秦岭南麓地区人民检察院(安康铁路运输检察院)办案和专业技术用房信息化项目监理服务。 2.陕西省秦岭南麓地区人民检察院(安康铁路运输检察院)办案和专业技术用房信息化项目实施方案编制服务。 具体要求详见磋商文件。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安康铁路运输检察院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陕西省安康市汉滨区江北大道80号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0915-2222758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采购包1：417,000.00元</w:t>
            </w:r>
          </w:p>
          <w:p>
            <w:pPr>
              <w:pStyle w:val="null3"/>
            </w:pPr>
            <w:r>
              <w:rPr>
                <w:rFonts w:ascii="仿宋_GB2312" w:hAnsi="仿宋_GB2312" w:cs="仿宋_GB2312" w:eastAsia="仿宋_GB2312"/>
              </w:rPr>
              <w:t>采购包2：509,100.00元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银行账号：52880188000025295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代理服务费收费标准：成交金额100万元以下，费率1.5%（核算代理服务费低于4000元按4000元计取）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安康铁路运输检察院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安康铁路运输检察院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安康铁路运输检察院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1.陕西省秦岭南麓地区人民检察院(安康铁路运输检察院)办案和专业技术用房信息化项目监理服务。 2.陕西省秦岭南麓地区人民检察院(安康铁路运输检察院)办案和专业技术用房信息化项目实施方案编制服务。 具体要求详见磋商文件。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417,000.00</w:t>
      </w:r>
    </w:p>
    <w:p>
      <w:pPr>
        <w:pStyle w:val="null3"/>
      </w:pPr>
      <w:r>
        <w:rPr>
          <w:rFonts w:ascii="仿宋_GB2312" w:hAnsi="仿宋_GB2312" w:cs="仿宋_GB2312" w:eastAsia="仿宋_GB2312"/>
        </w:rPr>
        <w:t>采购包最高限价（元）: 417,000.00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509,100.00</w:t>
      </w:r>
    </w:p>
    <w:p>
      <w:pPr>
        <w:pStyle w:val="null3"/>
      </w:pPr>
      <w:r>
        <w:rPr>
          <w:rFonts w:ascii="仿宋_GB2312" w:hAnsi="仿宋_GB2312" w:cs="仿宋_GB2312" w:eastAsia="仿宋_GB2312"/>
        </w:rPr>
        <w:t>采购包最高限价（元）: 509,100.00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实施方案编制服务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509,100.00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标的名称：监理服务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20"/>
            </w:pPr>
            <w:r>
              <w:rPr>
                <w:rFonts w:ascii="仿宋_GB2312" w:hAnsi="仿宋_GB2312" w:cs="仿宋_GB2312" w:eastAsia="仿宋_GB2312"/>
                <w:sz w:val="21"/>
                <w:b/>
              </w:rPr>
              <w:t>一、监理服务</w:t>
            </w:r>
            <w:r>
              <w:rPr>
                <w:rFonts w:ascii="仿宋_GB2312" w:hAnsi="仿宋_GB2312" w:cs="仿宋_GB2312" w:eastAsia="仿宋_GB2312"/>
                <w:sz w:val="21"/>
                <w:b/>
              </w:rPr>
              <w:t>内容</w:t>
            </w:r>
          </w:p>
          <w:p>
            <w:pPr>
              <w:pStyle w:val="null3"/>
              <w:ind w:firstLine="420"/>
              <w:jc w:val="both"/>
            </w:pPr>
            <w:r>
              <w:rPr>
                <w:rFonts w:ascii="仿宋_GB2312" w:hAnsi="仿宋_GB2312" w:cs="仿宋_GB2312" w:eastAsia="仿宋_GB2312"/>
                <w:sz w:val="21"/>
              </w:rPr>
              <w:t>本项目需第三方监理机构进行监管，</w:t>
            </w:r>
            <w:r>
              <w:rPr>
                <w:rFonts w:ascii="仿宋_GB2312" w:hAnsi="仿宋_GB2312" w:cs="仿宋_GB2312" w:eastAsia="仿宋_GB2312"/>
                <w:sz w:val="21"/>
              </w:rPr>
              <w:t>主要工</w:t>
            </w:r>
            <w:r>
              <w:rPr>
                <w:rFonts w:ascii="仿宋_GB2312" w:hAnsi="仿宋_GB2312" w:cs="仿宋_GB2312" w:eastAsia="仿宋_GB2312"/>
                <w:sz w:val="21"/>
              </w:rPr>
              <w:t>作包括但不限于：</w:t>
            </w:r>
            <w:r>
              <w:rPr>
                <w:rFonts w:ascii="仿宋_GB2312" w:hAnsi="仿宋_GB2312" w:cs="仿宋_GB2312" w:eastAsia="仿宋_GB2312"/>
                <w:sz w:val="21"/>
              </w:rPr>
              <w:t>组织技术交底</w:t>
            </w:r>
            <w:r>
              <w:rPr>
                <w:rFonts w:ascii="仿宋_GB2312" w:hAnsi="仿宋_GB2312" w:cs="仿宋_GB2312" w:eastAsia="仿宋_GB2312"/>
                <w:sz w:val="21"/>
              </w:rPr>
              <w:t>；</w:t>
            </w:r>
            <w:r>
              <w:rPr>
                <w:rFonts w:ascii="仿宋_GB2312" w:hAnsi="仿宋_GB2312" w:cs="仿宋_GB2312" w:eastAsia="仿宋_GB2312"/>
                <w:sz w:val="21"/>
              </w:rPr>
              <w:t>项目全过程实施监理</w:t>
            </w:r>
            <w:r>
              <w:rPr>
                <w:rFonts w:ascii="仿宋_GB2312" w:hAnsi="仿宋_GB2312" w:cs="仿宋_GB2312" w:eastAsia="仿宋_GB2312"/>
                <w:sz w:val="21"/>
              </w:rPr>
              <w:t>；</w:t>
            </w:r>
            <w:r>
              <w:rPr>
                <w:rFonts w:ascii="仿宋_GB2312" w:hAnsi="仿宋_GB2312" w:cs="仿宋_GB2312" w:eastAsia="仿宋_GB2312"/>
                <w:sz w:val="21"/>
              </w:rPr>
              <w:t>技术论证</w:t>
            </w:r>
            <w:r>
              <w:rPr>
                <w:rFonts w:ascii="仿宋_GB2312" w:hAnsi="仿宋_GB2312" w:cs="仿宋_GB2312" w:eastAsia="仿宋_GB2312"/>
                <w:sz w:val="21"/>
              </w:rPr>
              <w:t>和专家论证</w:t>
            </w:r>
            <w:r>
              <w:rPr>
                <w:rFonts w:ascii="仿宋_GB2312" w:hAnsi="仿宋_GB2312" w:cs="仿宋_GB2312" w:eastAsia="仿宋_GB2312"/>
                <w:sz w:val="21"/>
              </w:rPr>
              <w:t>；</w:t>
            </w:r>
            <w:r>
              <w:rPr>
                <w:rFonts w:ascii="仿宋_GB2312" w:hAnsi="仿宋_GB2312" w:cs="仿宋_GB2312" w:eastAsia="仿宋_GB2312"/>
                <w:sz w:val="21"/>
              </w:rPr>
              <w:t>监理日报、周报、月报及例会；项目初验；项目终验；资产登记；清点、盘查，登记</w:t>
            </w:r>
            <w:r>
              <w:rPr>
                <w:rFonts w:ascii="仿宋_GB2312" w:hAnsi="仿宋_GB2312" w:cs="仿宋_GB2312" w:eastAsia="仿宋_GB2312"/>
                <w:sz w:val="21"/>
              </w:rPr>
              <w:t>；</w:t>
            </w:r>
            <w:r>
              <w:rPr>
                <w:rFonts w:ascii="仿宋_GB2312" w:hAnsi="仿宋_GB2312" w:cs="仿宋_GB2312" w:eastAsia="仿宋_GB2312"/>
                <w:sz w:val="21"/>
              </w:rPr>
              <w:t>资产报告</w:t>
            </w:r>
            <w:r>
              <w:rPr>
                <w:rFonts w:ascii="仿宋_GB2312" w:hAnsi="仿宋_GB2312" w:cs="仿宋_GB2312" w:eastAsia="仿宋_GB2312"/>
                <w:sz w:val="21"/>
              </w:rPr>
              <w:t>编制</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服务要求和标准</w:t>
            </w:r>
          </w:p>
          <w:p>
            <w:pPr>
              <w:pStyle w:val="null3"/>
              <w:ind w:firstLine="420"/>
              <w:jc w:val="both"/>
            </w:pPr>
            <w:r>
              <w:rPr>
                <w:rFonts w:ascii="仿宋_GB2312" w:hAnsi="仿宋_GB2312" w:cs="仿宋_GB2312" w:eastAsia="仿宋_GB2312"/>
                <w:sz w:val="21"/>
              </w:rPr>
              <w:t>1.1技术标准</w:t>
            </w:r>
          </w:p>
          <w:p>
            <w:pPr>
              <w:pStyle w:val="null3"/>
              <w:ind w:firstLine="420"/>
              <w:jc w:val="both"/>
            </w:pPr>
            <w:r>
              <w:rPr>
                <w:rFonts w:ascii="仿宋_GB2312" w:hAnsi="仿宋_GB2312" w:cs="仿宋_GB2312" w:eastAsia="仿宋_GB2312"/>
                <w:sz w:val="21"/>
              </w:rPr>
              <w:t>监理服务须执行中华人民共和国国家相关标准，技术要求中所应用的标准规范应为现行最新版本。</w:t>
            </w:r>
            <w:r>
              <w:rPr>
                <w:rFonts w:ascii="仿宋_GB2312" w:hAnsi="仿宋_GB2312" w:cs="仿宋_GB2312" w:eastAsia="仿宋_GB2312"/>
                <w:sz w:val="21"/>
              </w:rPr>
              <w:t>监理单位应遵循科学、公正、诚信、守法的职业道德，以高度的责任心和丰富的专业技术经验，根据国家的有</w:t>
            </w:r>
            <w:r>
              <w:rPr>
                <w:rFonts w:ascii="仿宋_GB2312" w:hAnsi="仿宋_GB2312" w:cs="仿宋_GB2312" w:eastAsia="仿宋_GB2312"/>
                <w:sz w:val="21"/>
              </w:rPr>
              <w:t>关法规、技术规范和标准以及业主单位与承建单位签订的合同，为项目建设提供专业的、规范的监理服务。</w:t>
            </w:r>
          </w:p>
          <w:p>
            <w:pPr>
              <w:pStyle w:val="null3"/>
              <w:ind w:firstLine="420"/>
              <w:jc w:val="both"/>
            </w:pPr>
            <w:r>
              <w:rPr>
                <w:rFonts w:ascii="仿宋_GB2312" w:hAnsi="仿宋_GB2312" w:cs="仿宋_GB2312" w:eastAsia="仿宋_GB2312"/>
                <w:sz w:val="21"/>
              </w:rPr>
              <w:t>1.2监理目标</w:t>
            </w:r>
          </w:p>
          <w:p>
            <w:pPr>
              <w:pStyle w:val="null3"/>
              <w:ind w:firstLine="420"/>
              <w:jc w:val="both"/>
            </w:pPr>
            <w:r>
              <w:rPr>
                <w:rFonts w:ascii="仿宋_GB2312" w:hAnsi="仿宋_GB2312" w:cs="仿宋_GB2312" w:eastAsia="仿宋_GB2312"/>
                <w:sz w:val="21"/>
              </w:rPr>
              <w:t>依照有关标准规范和业主单位的需求，对项目建设全过程开展全面的、专业的监督管理。通过</w:t>
            </w:r>
            <w:r>
              <w:rPr>
                <w:rFonts w:ascii="仿宋_GB2312" w:hAnsi="仿宋_GB2312" w:cs="仿宋_GB2312" w:eastAsia="仿宋_GB2312"/>
                <w:sz w:val="21"/>
              </w:rPr>
              <w:t>“四控、三管、一协调”，保证项目建设质量符合合同要求、设计要求和国家相关标准规范要求，确保项目按期完成，使项目规范建设、规范验收，符合审计要求。</w:t>
            </w:r>
          </w:p>
          <w:p>
            <w:pPr>
              <w:pStyle w:val="null3"/>
              <w:ind w:firstLine="420"/>
              <w:jc w:val="both"/>
            </w:pPr>
            <w:r>
              <w:rPr>
                <w:rFonts w:ascii="仿宋_GB2312" w:hAnsi="仿宋_GB2312" w:cs="仿宋_GB2312" w:eastAsia="仿宋_GB2312"/>
                <w:sz w:val="21"/>
              </w:rPr>
              <w:t>具体分解为如下目标：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质量目标：符合国家有关技术标准和规范，满足设计文件与合同要求。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进度目标：协助业主单位处理好设计单位、承建单位及相关参建方的关系。对项目实施过程中由于设计方案的漏洞或与实际情况的差异或质量问题等所引起的全部或部分工程的停工、窝工，有责任及时组织相关单位或 人员进行沟通、协调，保证项目按项目计划分阶段全面完成。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3）项目管理目标：对各种设计文档以及项目管理提供可靠的审核和质量保证。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4）对承建单位的行为进行监控，保证项目建设行为符合国家标准规范要求，制止业务系统开发和实施行为 的随意性和盲目性，监督和保证文明施工的实施，确保工程合法、科学、合理又经济。</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5）协助业主单位与承建单位的有效沟通，使承建单位能够全面准确了解业主单位的实际需求，随时为业主 单位提供工程的进展情况。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6）保证项目运行的全过程有一套明确、合理、可行的计划或者规程，以及与之相应的审核、监理机制和手段。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7）保证工程的关键技术指标在项目实施过程中处于受控状态，及早预测和发现可能影响实施计划的各种因 素，及时纠正可能影响项目质量的缺陷，实时控制项目计量与付款。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8）如项目出现或需要变更，有责任对变更的合理性进行审核并协调或通知业主单位、设计单位或承建单位 进行认可，对变更所产生的费用和对项目计划的影响进行把握和控制，对未经业主单位认可的变更一律不准实施。</w:t>
            </w:r>
          </w:p>
          <w:p>
            <w:pPr>
              <w:pStyle w:val="null3"/>
              <w:ind w:firstLine="420"/>
              <w:jc w:val="both"/>
            </w:pPr>
            <w:r>
              <w:rPr>
                <w:rFonts w:ascii="仿宋_GB2312" w:hAnsi="仿宋_GB2312" w:cs="仿宋_GB2312" w:eastAsia="仿宋_GB2312"/>
                <w:sz w:val="21"/>
              </w:rPr>
              <w:t>1.3监理服务范围</w:t>
            </w:r>
          </w:p>
          <w:p>
            <w:pPr>
              <w:pStyle w:val="null3"/>
              <w:ind w:firstLine="420"/>
              <w:jc w:val="both"/>
            </w:pPr>
            <w:r>
              <w:rPr>
                <w:rFonts w:ascii="仿宋_GB2312" w:hAnsi="仿宋_GB2312" w:cs="仿宋_GB2312" w:eastAsia="仿宋_GB2312"/>
                <w:sz w:val="21"/>
              </w:rPr>
              <w:t>监理单位要正确理解本项目的建设目标和内容，了解本项目相关的组织结构和业务特点，对承建单位等项目相关方在项目实施过程中涉及的项目到货、开发、实施、集成、验收和系统移交、培训等阶段进行全程的监理，配合项目业主单位对所有项目建设工作进行监督和管理。</w:t>
            </w:r>
          </w:p>
          <w:p>
            <w:pPr>
              <w:pStyle w:val="null3"/>
              <w:ind w:firstLine="420"/>
              <w:jc w:val="both"/>
            </w:pPr>
            <w:r>
              <w:rPr>
                <w:rFonts w:ascii="仿宋_GB2312" w:hAnsi="仿宋_GB2312" w:cs="仿宋_GB2312" w:eastAsia="仿宋_GB2312"/>
                <w:sz w:val="21"/>
              </w:rPr>
              <w:t>1.4服务内容</w:t>
            </w:r>
          </w:p>
          <w:p>
            <w:pPr>
              <w:pStyle w:val="null3"/>
              <w:ind w:firstLine="420"/>
              <w:jc w:val="both"/>
            </w:pPr>
            <w:r>
              <w:rPr>
                <w:rFonts w:ascii="仿宋_GB2312" w:hAnsi="仿宋_GB2312" w:cs="仿宋_GB2312" w:eastAsia="仿宋_GB2312"/>
                <w:sz w:val="21"/>
              </w:rPr>
              <w:t>项目实施过程中的质量、进度、投资、变更控制，安全文明监督管理、合同、信息管理，参与项目建设各方关系的协调工作，配合业主单位完成建设目标。</w:t>
            </w:r>
          </w:p>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合同签订阶段合同签订阶段指自业主单位与承建单位签订项目建设合同为止。此阶段监理主要的工作内容是：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1）就招标文件实质性内容，结合业主单位预期与承建单位进行合同谈判；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2）审核合同及附件文档，出具监理评审报告。</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实施准备阶段</w:t>
            </w:r>
          </w:p>
          <w:p>
            <w:pPr>
              <w:pStyle w:val="null3"/>
              <w:ind w:firstLine="420"/>
              <w:jc w:val="both"/>
            </w:pPr>
            <w:r>
              <w:rPr>
                <w:rFonts w:ascii="仿宋_GB2312" w:hAnsi="仿宋_GB2312" w:cs="仿宋_GB2312" w:eastAsia="仿宋_GB2312"/>
                <w:sz w:val="21"/>
              </w:rPr>
              <w:t>准备阶段指项目合同签订之日起，至项目基准（建设范围、进度计划、实施方案）经三方（或监理方）确认后，总监理工程师签发开工令为止。此阶段监理主要的工作内容是：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由监理现场负责人对所建立管理制度进行培训，提出管理要求；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2）审核承建单位进场人员资格；</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3）审核承建单位提交的项目进度（实施）计划、实施方案、施工组织设计，出具监理专题报告；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4）监督承建单位内部的技术交底和安全交底培训；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5）签发开工令。</w:t>
            </w:r>
          </w:p>
          <w:p>
            <w:pPr>
              <w:pStyle w:val="null3"/>
              <w:ind w:left="525"/>
              <w:jc w:val="both"/>
            </w:pPr>
            <w:r>
              <w:rPr>
                <w:rFonts w:ascii="仿宋_GB2312" w:hAnsi="仿宋_GB2312" w:cs="仿宋_GB2312" w:eastAsia="仿宋_GB2312"/>
                <w:sz w:val="21"/>
              </w:rPr>
              <w:t>（三）实施阶段</w:t>
            </w:r>
          </w:p>
          <w:p>
            <w:pPr>
              <w:pStyle w:val="null3"/>
              <w:ind w:firstLine="420"/>
              <w:jc w:val="both"/>
            </w:pPr>
            <w:r>
              <w:rPr>
                <w:rFonts w:ascii="仿宋_GB2312" w:hAnsi="仿宋_GB2312" w:cs="仿宋_GB2312" w:eastAsia="仿宋_GB2312"/>
                <w:sz w:val="21"/>
              </w:rPr>
              <w:t>实施阶段指项目开工令签发之日起，至项目验收通过为止，此阶段监理主要的工作内容是：</w:t>
            </w:r>
          </w:p>
          <w:p>
            <w:pPr>
              <w:pStyle w:val="null3"/>
              <w:ind w:firstLine="420"/>
              <w:jc w:val="both"/>
            </w:pPr>
            <w:r>
              <w:rPr>
                <w:rFonts w:ascii="仿宋_GB2312" w:hAnsi="仿宋_GB2312" w:cs="仿宋_GB2312" w:eastAsia="仿宋_GB2312"/>
                <w:sz w:val="21"/>
              </w:rPr>
              <w:t>1.质量控制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1）开发集成质量的控制 ①系统开发计划的审核和确认； ②对采购的软硬件产品的质量进行检验、测试和验收③对系统软件的安装调试进行检查验收； ④对需求规格说明、概要设计说明、详细设计说明等软件开发过程文档进行审核； ⑤对系统进行测试确认； ⑥对系统运行情况、使用情况进行跟踪检查，对系统问题整改情况进行检查确认。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2）培训的质量控制 ①审核确认承建单位的培训计划； ②检查培训教材、使用说明书、维护手册等资料内容，检查培训文档是否与实际培训内容相符合； ③协助业主单位方组织培训； ④监督承建单位实施其培训计划，并征求业主单位的反馈意见 ⑤对培训效果进行考核； ⑥审核确认承建单位的培训总结报告。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进度控制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1）根据已批准的项目实施计划，检查实际实施执行进度；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2）对承建单位提交的项目周报等内容进行进度真实性复核；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3）根据当前实施进度，判断或预测项目执行的时间风险，并出具监理建议；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4）定期以周报/月报形式向业主单位量化汇报项目实际的执行状态。</w:t>
            </w:r>
          </w:p>
          <w:p>
            <w:pPr>
              <w:pStyle w:val="null3"/>
              <w:ind w:firstLine="420"/>
              <w:jc w:val="both"/>
            </w:pPr>
            <w:r>
              <w:rPr>
                <w:rFonts w:ascii="仿宋_GB2312" w:hAnsi="仿宋_GB2312" w:cs="仿宋_GB2312" w:eastAsia="仿宋_GB2312"/>
                <w:sz w:val="21"/>
              </w:rPr>
              <w:t>3.投资控制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1）审核合同或备忘录中关于项目款项支付的条件；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2）审核建单位提交的付款申请，参照合同支付条款进行计算、审核，确定支付条件的符合性，出具监理支 付意见（支付证书）；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3）对于项目款项变更、合同索赔进行造价评估。</w:t>
            </w:r>
          </w:p>
          <w:p>
            <w:pPr>
              <w:pStyle w:val="null3"/>
              <w:ind w:firstLine="420"/>
              <w:jc w:val="both"/>
            </w:pPr>
            <w:r>
              <w:rPr>
                <w:rFonts w:ascii="仿宋_GB2312" w:hAnsi="仿宋_GB2312" w:cs="仿宋_GB2312" w:eastAsia="仿宋_GB2312"/>
                <w:sz w:val="21"/>
              </w:rPr>
              <w:t>4.变更控制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1）审核承建单位提出的变更申请，就其变更动机的合理性出具监理专题报告，予以批准或否决；</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2）对初步批准的变更申请，组织三方审核变更方案，评估变更影响，并严格各方执行变更程序；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3）监督变更方案的实施，并评估变更影响效果，出具监理专题报告。</w:t>
            </w:r>
          </w:p>
          <w:p>
            <w:pPr>
              <w:pStyle w:val="null3"/>
              <w:ind w:firstLine="420"/>
              <w:jc w:val="both"/>
            </w:pPr>
            <w:r>
              <w:rPr>
                <w:rFonts w:ascii="仿宋_GB2312" w:hAnsi="仿宋_GB2312" w:cs="仿宋_GB2312" w:eastAsia="仿宋_GB2312"/>
                <w:sz w:val="21"/>
              </w:rPr>
              <w:t>5.安全及数据保密管理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1）协助业主单位审核安全施工方案和数据保密方案；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2）定期/不定期对项目安全施工及数据保密管理方案执行情况进行检查；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3）负责项目建设过程中所涉及的政府数据和资料的保护，保证不被非授权使用；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4）负责项目实施过程中的安全管理，确保不出现安全事故。</w:t>
            </w:r>
          </w:p>
          <w:p>
            <w:pPr>
              <w:pStyle w:val="null3"/>
              <w:ind w:firstLine="420"/>
              <w:jc w:val="both"/>
            </w:pPr>
            <w:r>
              <w:rPr>
                <w:rFonts w:ascii="仿宋_GB2312" w:hAnsi="仿宋_GB2312" w:cs="仿宋_GB2312" w:eastAsia="仿宋_GB2312"/>
                <w:sz w:val="21"/>
              </w:rPr>
              <w:t>6.文档管理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1）批准承建单位提交项目文档管理计划，并根据计划及时敦促承建单位提交文档；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2）审核承建单位提交的各类项目文档，并出具监理专题报告；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3）负责对于项目过程产生的原始文档/文件进行收集，并定期整理；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4）做好合同批复等各类往来文件的存档；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5）做好项目协调会、技术专题会的会议纪要工作；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6）管理实施期间的各类技术文档；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7）编制监理周报、监理月报，根据项目需要签发监理意见书、监理通知书。</w:t>
            </w:r>
          </w:p>
          <w:p>
            <w:pPr>
              <w:pStyle w:val="null3"/>
              <w:ind w:firstLine="420"/>
              <w:jc w:val="both"/>
            </w:pPr>
            <w:r>
              <w:rPr>
                <w:rFonts w:ascii="仿宋_GB2312" w:hAnsi="仿宋_GB2312" w:cs="仿宋_GB2312" w:eastAsia="仿宋_GB2312"/>
                <w:sz w:val="21"/>
              </w:rPr>
              <w:t>7.合同管理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1）协助审核项目合同，按照要求就项目合同征求意见并根据意见进行修改完善；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2）跟踪检查合同的执行情况，确保项目业主单位按时履约；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3）对合同的工期的延误和延期进行审核确认；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4）对合同变更、索赔等事宜进行审核确认；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5）根据合同约定，审核项目承建单位的支付申请，签发付款凭证；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6）对项目变更控制，明确界定项目变更的目标，防止变更范围的扩大化，加强变更风险以及变更效果的评 估；</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8 沟通协调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组织召开监理例会，并形成监理会议纪要；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根据工程实际出现的建设问题，（协助业主单位）及时召开工程专题例会，并形成监理会议纪要；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对涉及多方的建设交互</w:t>
            </w:r>
            <w:r>
              <w:rPr>
                <w:rFonts w:ascii="仿宋_GB2312" w:hAnsi="仿宋_GB2312" w:cs="仿宋_GB2312" w:eastAsia="仿宋_GB2312"/>
                <w:sz w:val="21"/>
              </w:rPr>
              <w:t>/协同问题，（协助业主单位）及时召开工程协调会，并形成监理会议纪要。</w:t>
            </w:r>
          </w:p>
          <w:p>
            <w:pPr>
              <w:pStyle w:val="null3"/>
              <w:ind w:firstLine="420"/>
              <w:jc w:val="both"/>
            </w:pPr>
            <w:r>
              <w:rPr>
                <w:rFonts w:ascii="仿宋_GB2312" w:hAnsi="仿宋_GB2312" w:cs="仿宋_GB2312" w:eastAsia="仿宋_GB2312"/>
                <w:sz w:val="21"/>
              </w:rPr>
              <w:t>（四）测试测评阶段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1）协助业主单位开展系统测试工作，出具监理意见；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2）协助业主单位组织系统安全测评工作；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3）对等保测评、密码应用安全性评估、第三方软件测评的进度、完成情况进行监督检查。</w:t>
            </w:r>
          </w:p>
          <w:p>
            <w:pPr>
              <w:pStyle w:val="null3"/>
              <w:ind w:firstLine="420"/>
              <w:jc w:val="both"/>
            </w:pPr>
            <w:r>
              <w:rPr>
                <w:rFonts w:ascii="仿宋_GB2312" w:hAnsi="仿宋_GB2312" w:cs="仿宋_GB2312" w:eastAsia="仿宋_GB2312"/>
                <w:sz w:val="21"/>
              </w:rPr>
              <w:t>（五）验收阶段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1）核查项目建设完成情况，出具是否具备验收条件的监理意见；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2）结合项目实际实施情况，出具监理总结报告和绩效评价报告；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3）协助业主单位确定验收程序、验收标准和验收方案；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4）依据项目档案管理规范，协助整理工程验收文档；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5）协助业主单位组织初步验收、终验、档案专项验收；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6）协助项目和档案移交；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7）配合完成项目第三方审计和竣工验收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配合甲方提供资产清查、资产登记工作。</w:t>
            </w:r>
          </w:p>
          <w:p>
            <w:pPr>
              <w:pStyle w:val="null3"/>
              <w:ind w:firstLine="422"/>
              <w:jc w:val="both"/>
            </w:pP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项目监理机构和人员</w:t>
            </w:r>
          </w:p>
          <w:p>
            <w:pPr>
              <w:pStyle w:val="null3"/>
              <w:ind w:firstLine="420"/>
              <w:jc w:val="both"/>
            </w:pPr>
            <w:r>
              <w:rPr>
                <w:rFonts w:ascii="仿宋_GB2312" w:hAnsi="仿宋_GB2312" w:cs="仿宋_GB2312" w:eastAsia="仿宋_GB2312"/>
                <w:sz w:val="21"/>
              </w:rPr>
              <w:t>1.监理人应组建满足工作需要的项目监理机构，配备必要的检测设备。项目监理机构的主要人员应具有相应的资格条件。</w:t>
            </w:r>
          </w:p>
          <w:p>
            <w:pPr>
              <w:pStyle w:val="null3"/>
              <w:ind w:firstLine="420"/>
              <w:jc w:val="both"/>
            </w:pPr>
            <w:r>
              <w:rPr>
                <w:rFonts w:ascii="仿宋_GB2312" w:hAnsi="仿宋_GB2312" w:cs="仿宋_GB2312" w:eastAsia="仿宋_GB2312"/>
                <w:sz w:val="21"/>
              </w:rPr>
              <w:t>2.本合同履行过程中，总监理工程师</w:t>
            </w:r>
            <w:r>
              <w:rPr>
                <w:rFonts w:ascii="仿宋_GB2312" w:hAnsi="仿宋_GB2312" w:cs="仿宋_GB2312" w:eastAsia="仿宋_GB2312"/>
                <w:sz w:val="21"/>
              </w:rPr>
              <w:t>、</w:t>
            </w:r>
            <w:r>
              <w:rPr>
                <w:rFonts w:ascii="仿宋_GB2312" w:hAnsi="仿宋_GB2312" w:cs="仿宋_GB2312" w:eastAsia="仿宋_GB2312"/>
                <w:sz w:val="21"/>
              </w:rPr>
              <w:t>总监理工程师代表</w:t>
            </w:r>
            <w:r>
              <w:rPr>
                <w:rFonts w:ascii="仿宋_GB2312" w:hAnsi="仿宋_GB2312" w:cs="仿宋_GB2312" w:eastAsia="仿宋_GB2312"/>
                <w:sz w:val="21"/>
              </w:rPr>
              <w:t>及</w:t>
            </w:r>
            <w:r>
              <w:rPr>
                <w:rFonts w:ascii="仿宋_GB2312" w:hAnsi="仿宋_GB2312" w:cs="仿宋_GB2312" w:eastAsia="仿宋_GB2312"/>
                <w:sz w:val="21"/>
              </w:rPr>
              <w:t>其他</w:t>
            </w:r>
            <w:r>
              <w:rPr>
                <w:rFonts w:ascii="仿宋_GB2312" w:hAnsi="仿宋_GB2312" w:cs="仿宋_GB2312" w:eastAsia="仿宋_GB2312"/>
                <w:sz w:val="21"/>
              </w:rPr>
              <w:t>重要岗位监理人员应保持相对稳定，以保证监理工作正常进行。</w:t>
            </w:r>
          </w:p>
          <w:p>
            <w:pPr>
              <w:pStyle w:val="null3"/>
              <w:ind w:firstLine="420"/>
              <w:jc w:val="both"/>
            </w:pPr>
            <w:r>
              <w:rPr>
                <w:rFonts w:ascii="仿宋_GB2312" w:hAnsi="仿宋_GB2312" w:cs="仿宋_GB2312" w:eastAsia="仿宋_GB2312"/>
                <w:sz w:val="21"/>
              </w:rPr>
              <w:t>3.本项目</w:t>
            </w:r>
            <w:r>
              <w:rPr>
                <w:rFonts w:ascii="仿宋_GB2312" w:hAnsi="仿宋_GB2312" w:cs="仿宋_GB2312" w:eastAsia="仿宋_GB2312"/>
                <w:sz w:val="21"/>
              </w:rPr>
              <w:t>总监理工程师</w:t>
            </w:r>
            <w:r>
              <w:rPr>
                <w:rFonts w:ascii="仿宋_GB2312" w:hAnsi="仿宋_GB2312" w:cs="仿宋_GB2312" w:eastAsia="仿宋_GB2312"/>
                <w:sz w:val="21"/>
              </w:rPr>
              <w:t>、</w:t>
            </w:r>
            <w:r>
              <w:rPr>
                <w:rFonts w:ascii="仿宋_GB2312" w:hAnsi="仿宋_GB2312" w:cs="仿宋_GB2312" w:eastAsia="仿宋_GB2312"/>
                <w:sz w:val="21"/>
              </w:rPr>
              <w:t>总监理工程师代表需驻场服务，如需离场需征求甲方同意。</w:t>
            </w:r>
          </w:p>
          <w:p>
            <w:pPr>
              <w:pStyle w:val="null3"/>
              <w:ind w:firstLine="422"/>
              <w:jc w:val="both"/>
            </w:pPr>
            <w:r>
              <w:rPr>
                <w:rFonts w:ascii="仿宋_GB2312" w:hAnsi="仿宋_GB2312" w:cs="仿宋_GB2312" w:eastAsia="仿宋_GB2312"/>
                <w:sz w:val="21"/>
                <w:b/>
              </w:rPr>
              <w:t>四、</w:t>
            </w:r>
            <w:r>
              <w:rPr>
                <w:rFonts w:ascii="仿宋_GB2312" w:hAnsi="仿宋_GB2312" w:cs="仿宋_GB2312" w:eastAsia="仿宋_GB2312"/>
                <w:sz w:val="21"/>
                <w:b/>
              </w:rPr>
              <w:t>服务标准：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除合同另有约定外，本工程适用现行国家、省、市、行业和地方规范、标准和规程。</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规范、标准和规程如发生不一致时，则以要求最为严格的规范</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在合同履行期间，监理人应满足委托人的特定技术要求，满足设计要求，满足陕西省有关强制性规定；监理人应严格执行中华人民共和国强制性标准，执行现行的或即将颁布的行业标准、规范；如有新颁国家标准及行业标准、规范，委托人指令执行时，监理人应当执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标的名称：实施方案编制服务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22"/>
            </w:pPr>
            <w:r>
              <w:rPr>
                <w:rFonts w:ascii="仿宋_GB2312" w:hAnsi="仿宋_GB2312" w:cs="仿宋_GB2312" w:eastAsia="仿宋_GB2312"/>
                <w:sz w:val="21"/>
                <w:b/>
                <w:color w:val="000000"/>
              </w:rPr>
              <w:t>一、项目</w:t>
            </w:r>
            <w:r>
              <w:rPr>
                <w:rFonts w:ascii="仿宋_GB2312" w:hAnsi="仿宋_GB2312" w:cs="仿宋_GB2312" w:eastAsia="仿宋_GB2312"/>
                <w:sz w:val="21"/>
                <w:b/>
                <w:color w:val="000000"/>
              </w:rPr>
              <w:t>概况</w:t>
            </w:r>
          </w:p>
          <w:p>
            <w:pPr>
              <w:pStyle w:val="null3"/>
              <w:ind w:firstLine="420"/>
              <w:jc w:val="both"/>
            </w:pPr>
            <w:r>
              <w:rPr>
                <w:rFonts w:ascii="仿宋_GB2312" w:hAnsi="仿宋_GB2312" w:cs="仿宋_GB2312" w:eastAsia="仿宋_GB2312"/>
                <w:sz w:val="21"/>
                <w:color w:val="000000"/>
              </w:rPr>
              <w:t>本工程设计范围为陕西省秦岭南麓地区人民检察</w:t>
            </w:r>
            <w:r>
              <w:rPr>
                <w:rFonts w:ascii="仿宋_GB2312" w:hAnsi="仿宋_GB2312" w:cs="仿宋_GB2312" w:eastAsia="仿宋_GB2312"/>
                <w:sz w:val="21"/>
                <w:color w:val="000000"/>
              </w:rPr>
              <w:t>院的</w:t>
            </w:r>
            <w:r>
              <w:rPr>
                <w:rFonts w:ascii="仿宋_GB2312" w:hAnsi="仿宋_GB2312" w:cs="仿宋_GB2312" w:eastAsia="仿宋_GB2312"/>
                <w:sz w:val="21"/>
                <w:color w:val="000000"/>
              </w:rPr>
              <w:t>“</w:t>
            </w:r>
            <w:r>
              <w:rPr>
                <w:rFonts w:ascii="仿宋_GB2312" w:hAnsi="仿宋_GB2312" w:cs="仿宋_GB2312" w:eastAsia="仿宋_GB2312"/>
                <w:sz w:val="21"/>
                <w:color w:val="000000"/>
              </w:rPr>
              <w:t>两房</w:t>
            </w:r>
            <w:r>
              <w:rPr>
                <w:rFonts w:ascii="仿宋_GB2312" w:hAnsi="仿宋_GB2312" w:cs="仿宋_GB2312" w:eastAsia="仿宋_GB2312"/>
                <w:sz w:val="21"/>
                <w:color w:val="000000"/>
              </w:rPr>
              <w:t>”</w:t>
            </w:r>
            <w:r>
              <w:rPr>
                <w:rFonts w:ascii="仿宋_GB2312" w:hAnsi="仿宋_GB2312" w:cs="仿宋_GB2312" w:eastAsia="仿宋_GB2312"/>
                <w:sz w:val="21"/>
                <w:color w:val="000000"/>
              </w:rPr>
              <w:t>信息化设计，需要在前期可行性研究报告的基础上</w:t>
            </w:r>
            <w:r>
              <w:rPr>
                <w:rFonts w:ascii="仿宋_GB2312" w:hAnsi="仿宋_GB2312" w:cs="仿宋_GB2312" w:eastAsia="仿宋_GB2312"/>
                <w:sz w:val="21"/>
                <w:color w:val="000000"/>
              </w:rPr>
              <w:t>进行深化设计，满足实施方案的要求。具体包括但不限于计算机网络系统、智慧楼宇系统、应用系统等相关的</w:t>
            </w:r>
            <w:r>
              <w:rPr>
                <w:rFonts w:ascii="仿宋_GB2312" w:hAnsi="仿宋_GB2312" w:cs="仿宋_GB2312" w:eastAsia="仿宋_GB2312"/>
                <w:sz w:val="21"/>
                <w:color w:val="000000"/>
              </w:rPr>
              <w:t>检察业务</w:t>
            </w:r>
            <w:r>
              <w:rPr>
                <w:rFonts w:ascii="仿宋_GB2312" w:hAnsi="仿宋_GB2312" w:cs="仿宋_GB2312" w:eastAsia="仿宋_GB2312"/>
                <w:sz w:val="21"/>
                <w:color w:val="000000"/>
              </w:rPr>
              <w:t>用房系统。</w:t>
            </w:r>
          </w:p>
          <w:p>
            <w:pPr>
              <w:pStyle w:val="null3"/>
              <w:jc w:val="both"/>
            </w:pPr>
            <w:r>
              <w:rPr>
                <w:rFonts w:ascii="仿宋_GB2312" w:hAnsi="仿宋_GB2312" w:cs="仿宋_GB2312" w:eastAsia="仿宋_GB2312"/>
                <w:sz w:val="21"/>
                <w:color w:val="000000"/>
              </w:rPr>
              <w:t>配合甲方完成设计方案交底、竣工验收等相关配合工作</w:t>
            </w:r>
          </w:p>
          <w:p>
            <w:pPr>
              <w:pStyle w:val="null3"/>
              <w:jc w:val="both"/>
            </w:pPr>
            <w:r>
              <w:rPr>
                <w:rFonts w:ascii="仿宋_GB2312" w:hAnsi="仿宋_GB2312" w:cs="仿宋_GB2312" w:eastAsia="仿宋_GB2312"/>
                <w:sz w:val="21"/>
                <w:color w:val="000000"/>
              </w:rPr>
              <w:t>项目位置：陕西省安康市安康大道与花园大道十字向北</w:t>
            </w:r>
            <w:r>
              <w:rPr>
                <w:rFonts w:ascii="仿宋_GB2312" w:hAnsi="仿宋_GB2312" w:cs="仿宋_GB2312" w:eastAsia="仿宋_GB2312"/>
                <w:sz w:val="21"/>
                <w:color w:val="000000"/>
              </w:rPr>
              <w:t>150米</w:t>
            </w:r>
          </w:p>
          <w:p>
            <w:pPr>
              <w:pStyle w:val="null3"/>
              <w:jc w:val="both"/>
            </w:pPr>
            <w:r>
              <w:rPr>
                <w:rFonts w:ascii="仿宋_GB2312" w:hAnsi="仿宋_GB2312" w:cs="仿宋_GB2312" w:eastAsia="仿宋_GB2312"/>
                <w:sz w:val="21"/>
                <w:color w:val="000000"/>
              </w:rPr>
              <w:t>基本情况：大楼楼体结构布局为长方形，项目所在楼宇为一幢五层建筑，其中地下一层，地上四层，建筑面积</w:t>
            </w:r>
            <w:r>
              <w:rPr>
                <w:rFonts w:ascii="仿宋_GB2312" w:hAnsi="仿宋_GB2312" w:cs="仿宋_GB2312" w:eastAsia="仿宋_GB2312"/>
                <w:sz w:val="21"/>
                <w:color w:val="000000"/>
              </w:rPr>
              <w:t>2887</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4㎡。</w:t>
            </w:r>
          </w:p>
          <w:p>
            <w:pPr>
              <w:pStyle w:val="null3"/>
              <w:jc w:val="both"/>
            </w:pPr>
            <w:r>
              <w:rPr>
                <w:rFonts w:ascii="仿宋_GB2312" w:hAnsi="仿宋_GB2312" w:cs="仿宋_GB2312" w:eastAsia="仿宋_GB2312"/>
                <w:sz w:val="21"/>
                <w:color w:val="000000"/>
              </w:rPr>
              <w:t>功能定位：应满足秦岭南麓地区人民检察院办案和专业技术需要，即办案、</w:t>
            </w:r>
            <w:r>
              <w:rPr>
                <w:rFonts w:ascii="仿宋_GB2312" w:hAnsi="仿宋_GB2312" w:cs="仿宋_GB2312" w:eastAsia="仿宋_GB2312"/>
                <w:sz w:val="21"/>
                <w:color w:val="000000"/>
              </w:rPr>
              <w:t>听证</w:t>
            </w:r>
            <w:r>
              <w:rPr>
                <w:rFonts w:ascii="仿宋_GB2312" w:hAnsi="仿宋_GB2312" w:cs="仿宋_GB2312" w:eastAsia="仿宋_GB2312"/>
                <w:sz w:val="21"/>
                <w:color w:val="000000"/>
              </w:rPr>
              <w:t>、审讯、指挥等功能。</w:t>
            </w:r>
          </w:p>
          <w:p>
            <w:pPr>
              <w:pStyle w:val="null3"/>
              <w:ind w:firstLine="422"/>
              <w:jc w:val="both"/>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编制依据和要求</w:t>
            </w:r>
          </w:p>
          <w:p>
            <w:pPr>
              <w:pStyle w:val="null3"/>
              <w:ind w:firstLine="420"/>
              <w:jc w:val="both"/>
            </w:pPr>
            <w:r>
              <w:rPr>
                <w:rFonts w:ascii="仿宋_GB2312" w:hAnsi="仿宋_GB2312" w:cs="仿宋_GB2312" w:eastAsia="仿宋_GB2312"/>
                <w:sz w:val="21"/>
                <w:color w:val="000000"/>
              </w:rPr>
              <w:t>1.编制依据及基础资料</w:t>
            </w:r>
          </w:p>
          <w:p>
            <w:pPr>
              <w:pStyle w:val="null3"/>
              <w:ind w:firstLine="420"/>
              <w:jc w:val="both"/>
            </w:pPr>
            <w:r>
              <w:rPr>
                <w:rFonts w:ascii="仿宋_GB2312" w:hAnsi="仿宋_GB2312" w:cs="仿宋_GB2312" w:eastAsia="仿宋_GB2312"/>
                <w:sz w:val="21"/>
                <w:color w:val="000000"/>
              </w:rPr>
              <w:t>相关的技术规范、标准</w:t>
            </w:r>
          </w:p>
          <w:p>
            <w:pPr>
              <w:pStyle w:val="null3"/>
              <w:ind w:firstLine="420"/>
              <w:jc w:val="both"/>
            </w:pPr>
            <w:r>
              <w:rPr>
                <w:rFonts w:ascii="仿宋_GB2312" w:hAnsi="仿宋_GB2312" w:cs="仿宋_GB2312" w:eastAsia="仿宋_GB2312"/>
                <w:sz w:val="21"/>
                <w:color w:val="000000"/>
              </w:rPr>
              <w:t>1)《智能建筑设计标准》（GB 50314-2015）；</w:t>
            </w:r>
          </w:p>
          <w:p>
            <w:pPr>
              <w:pStyle w:val="null3"/>
              <w:ind w:firstLine="420"/>
              <w:jc w:val="both"/>
            </w:pPr>
            <w:r>
              <w:rPr>
                <w:rFonts w:ascii="仿宋_GB2312" w:hAnsi="仿宋_GB2312" w:cs="仿宋_GB2312" w:eastAsia="仿宋_GB2312"/>
                <w:sz w:val="21"/>
                <w:color w:val="000000"/>
              </w:rPr>
              <w:t>2)《数据中心设计规范》（GB 50174-2017）；</w:t>
            </w:r>
          </w:p>
          <w:p>
            <w:pPr>
              <w:pStyle w:val="null3"/>
              <w:ind w:firstLine="420"/>
              <w:jc w:val="both"/>
            </w:pPr>
            <w:r>
              <w:rPr>
                <w:rFonts w:ascii="仿宋_GB2312" w:hAnsi="仿宋_GB2312" w:cs="仿宋_GB2312" w:eastAsia="仿宋_GB2312"/>
                <w:sz w:val="21"/>
                <w:color w:val="000000"/>
              </w:rPr>
              <w:t>3)《建筑物防雷设计规范》（GB 50057-2010）；</w:t>
            </w:r>
          </w:p>
          <w:p>
            <w:pPr>
              <w:pStyle w:val="null3"/>
              <w:ind w:firstLine="420"/>
              <w:jc w:val="both"/>
            </w:pPr>
            <w:r>
              <w:rPr>
                <w:rFonts w:ascii="仿宋_GB2312" w:hAnsi="仿宋_GB2312" w:cs="仿宋_GB2312" w:eastAsia="仿宋_GB2312"/>
                <w:sz w:val="21"/>
                <w:color w:val="000000"/>
              </w:rPr>
              <w:t>4)《供配电系统设计规范》（GB 50052-2009）；</w:t>
            </w:r>
          </w:p>
          <w:p>
            <w:pPr>
              <w:pStyle w:val="null3"/>
              <w:ind w:firstLine="420"/>
              <w:jc w:val="both"/>
            </w:pPr>
            <w:r>
              <w:rPr>
                <w:rFonts w:ascii="仿宋_GB2312" w:hAnsi="仿宋_GB2312" w:cs="仿宋_GB2312" w:eastAsia="仿宋_GB2312"/>
                <w:sz w:val="21"/>
                <w:color w:val="000000"/>
              </w:rPr>
              <w:t>5)《低压配电设计规范》（GB 50054-2011）；</w:t>
            </w:r>
          </w:p>
          <w:p>
            <w:pPr>
              <w:pStyle w:val="null3"/>
              <w:ind w:firstLine="420"/>
              <w:jc w:val="both"/>
            </w:pPr>
            <w:r>
              <w:rPr>
                <w:rFonts w:ascii="仿宋_GB2312" w:hAnsi="仿宋_GB2312" w:cs="仿宋_GB2312" w:eastAsia="仿宋_GB2312"/>
                <w:sz w:val="21"/>
                <w:color w:val="000000"/>
              </w:rPr>
              <w:t>6)《智能建筑工程质量验收规范》（GB 50339-2013）；</w:t>
            </w:r>
          </w:p>
          <w:p>
            <w:pPr>
              <w:pStyle w:val="null3"/>
              <w:ind w:firstLine="420"/>
              <w:jc w:val="both"/>
            </w:pPr>
            <w:r>
              <w:rPr>
                <w:rFonts w:ascii="仿宋_GB2312" w:hAnsi="仿宋_GB2312" w:cs="仿宋_GB2312" w:eastAsia="仿宋_GB2312"/>
                <w:sz w:val="21"/>
                <w:color w:val="000000"/>
              </w:rPr>
              <w:t>7)《建筑物电子信息系统防雷技术规范》（GB 50343-2012）；</w:t>
            </w:r>
          </w:p>
          <w:p>
            <w:pPr>
              <w:pStyle w:val="null3"/>
              <w:ind w:firstLine="420"/>
              <w:jc w:val="both"/>
            </w:pPr>
            <w:r>
              <w:rPr>
                <w:rFonts w:ascii="仿宋_GB2312" w:hAnsi="仿宋_GB2312" w:cs="仿宋_GB2312" w:eastAsia="仿宋_GB2312"/>
                <w:sz w:val="21"/>
                <w:color w:val="000000"/>
              </w:rPr>
              <w:t>8)《计算站场地通用规范》（GB/T 2887-2011）；</w:t>
            </w:r>
          </w:p>
          <w:p>
            <w:pPr>
              <w:pStyle w:val="null3"/>
              <w:ind w:firstLine="420"/>
              <w:jc w:val="both"/>
            </w:pPr>
            <w:r>
              <w:rPr>
                <w:rFonts w:ascii="仿宋_GB2312" w:hAnsi="仿宋_GB2312" w:cs="仿宋_GB2312" w:eastAsia="仿宋_GB2312"/>
                <w:sz w:val="21"/>
                <w:color w:val="000000"/>
              </w:rPr>
              <w:t>9)《计算站场地安全技术》（GB/T 9361-2011）；</w:t>
            </w:r>
          </w:p>
          <w:p>
            <w:pPr>
              <w:pStyle w:val="null3"/>
              <w:ind w:firstLine="420"/>
              <w:jc w:val="both"/>
            </w:pPr>
            <w:r>
              <w:rPr>
                <w:rFonts w:ascii="仿宋_GB2312" w:hAnsi="仿宋_GB2312" w:cs="仿宋_GB2312" w:eastAsia="仿宋_GB2312"/>
                <w:sz w:val="21"/>
                <w:color w:val="000000"/>
              </w:rPr>
              <w:t>10)《防静电活动地板通用规范》（SJ/T 10796-2001）；</w:t>
            </w:r>
          </w:p>
          <w:p>
            <w:pPr>
              <w:pStyle w:val="null3"/>
              <w:ind w:firstLine="420"/>
              <w:jc w:val="both"/>
            </w:pPr>
            <w:r>
              <w:rPr>
                <w:rFonts w:ascii="仿宋_GB2312" w:hAnsi="仿宋_GB2312" w:cs="仿宋_GB2312" w:eastAsia="仿宋_GB2312"/>
                <w:sz w:val="21"/>
                <w:color w:val="000000"/>
              </w:rPr>
              <w:t>11)《建筑设计防火规范(2018年版)》（GB 50016-2014）；</w:t>
            </w:r>
          </w:p>
          <w:p>
            <w:pPr>
              <w:pStyle w:val="null3"/>
              <w:ind w:firstLine="420"/>
              <w:jc w:val="both"/>
            </w:pPr>
            <w:r>
              <w:rPr>
                <w:rFonts w:ascii="仿宋_GB2312" w:hAnsi="仿宋_GB2312" w:cs="仿宋_GB2312" w:eastAsia="仿宋_GB2312"/>
                <w:sz w:val="21"/>
                <w:color w:val="000000"/>
              </w:rPr>
              <w:t>12)《建筑内部装修设计防火规范》（GB50222-2017）；</w:t>
            </w:r>
          </w:p>
          <w:p>
            <w:pPr>
              <w:pStyle w:val="null3"/>
              <w:ind w:firstLine="420"/>
              <w:jc w:val="both"/>
            </w:pPr>
            <w:r>
              <w:rPr>
                <w:rFonts w:ascii="仿宋_GB2312" w:hAnsi="仿宋_GB2312" w:cs="仿宋_GB2312" w:eastAsia="仿宋_GB2312"/>
                <w:sz w:val="21"/>
                <w:color w:val="000000"/>
              </w:rPr>
              <w:t>13)《电气装置安装工程 低压电器施工及验收规范》（GB50254-</w:t>
            </w:r>
          </w:p>
          <w:p>
            <w:pPr>
              <w:pStyle w:val="null3"/>
              <w:ind w:firstLine="420"/>
              <w:jc w:val="both"/>
            </w:pPr>
            <w:r>
              <w:rPr>
                <w:rFonts w:ascii="仿宋_GB2312" w:hAnsi="仿宋_GB2312" w:cs="仿宋_GB2312" w:eastAsia="仿宋_GB2312"/>
                <w:sz w:val="21"/>
                <w:color w:val="000000"/>
              </w:rPr>
              <w:t>2014）；</w:t>
            </w:r>
          </w:p>
          <w:p>
            <w:pPr>
              <w:pStyle w:val="null3"/>
              <w:ind w:firstLine="420"/>
              <w:jc w:val="both"/>
            </w:pPr>
            <w:r>
              <w:rPr>
                <w:rFonts w:ascii="仿宋_GB2312" w:hAnsi="仿宋_GB2312" w:cs="仿宋_GB2312" w:eastAsia="仿宋_GB2312"/>
                <w:sz w:val="21"/>
                <w:color w:val="000000"/>
              </w:rPr>
              <w:t>14)《电气装置安装工程 接地装置施工及验收规范》（GB</w:t>
            </w:r>
          </w:p>
          <w:p>
            <w:pPr>
              <w:pStyle w:val="null3"/>
              <w:ind w:firstLine="420"/>
              <w:jc w:val="both"/>
            </w:pPr>
            <w:r>
              <w:rPr>
                <w:rFonts w:ascii="仿宋_GB2312" w:hAnsi="仿宋_GB2312" w:cs="仿宋_GB2312" w:eastAsia="仿宋_GB2312"/>
                <w:sz w:val="21"/>
                <w:color w:val="000000"/>
              </w:rPr>
              <w:t>50169-2016）；</w:t>
            </w:r>
          </w:p>
          <w:p>
            <w:pPr>
              <w:pStyle w:val="null3"/>
              <w:ind w:firstLine="420"/>
              <w:jc w:val="both"/>
            </w:pPr>
            <w:r>
              <w:rPr>
                <w:rFonts w:ascii="仿宋_GB2312" w:hAnsi="仿宋_GB2312" w:cs="仿宋_GB2312" w:eastAsia="仿宋_GB2312"/>
                <w:sz w:val="21"/>
                <w:color w:val="000000"/>
              </w:rPr>
              <w:t>15)《综合布线系统工程设计规范》（GB 50311-2016）；</w:t>
            </w:r>
          </w:p>
          <w:p>
            <w:pPr>
              <w:pStyle w:val="null3"/>
              <w:ind w:firstLine="420"/>
              <w:jc w:val="both"/>
            </w:pPr>
            <w:r>
              <w:rPr>
                <w:rFonts w:ascii="仿宋_GB2312" w:hAnsi="仿宋_GB2312" w:cs="仿宋_GB2312" w:eastAsia="仿宋_GB2312"/>
                <w:sz w:val="21"/>
                <w:color w:val="000000"/>
              </w:rPr>
              <w:t>16)《综合布线系统工程验收规范》（GB 50312-2016）；</w:t>
            </w:r>
          </w:p>
          <w:p>
            <w:pPr>
              <w:pStyle w:val="null3"/>
              <w:ind w:firstLine="420"/>
              <w:jc w:val="both"/>
            </w:pPr>
            <w:r>
              <w:rPr>
                <w:rFonts w:ascii="仿宋_GB2312" w:hAnsi="仿宋_GB2312" w:cs="仿宋_GB2312" w:eastAsia="仿宋_GB2312"/>
                <w:sz w:val="21"/>
                <w:color w:val="000000"/>
              </w:rPr>
              <w:t>17)《民用闭路监视电视系统工程技术规范》（GB 50198-2011）；</w:t>
            </w:r>
          </w:p>
          <w:p>
            <w:pPr>
              <w:pStyle w:val="null3"/>
              <w:ind w:firstLine="420"/>
              <w:jc w:val="both"/>
            </w:pPr>
            <w:r>
              <w:rPr>
                <w:rFonts w:ascii="仿宋_GB2312" w:hAnsi="仿宋_GB2312" w:cs="仿宋_GB2312" w:eastAsia="仿宋_GB2312"/>
                <w:sz w:val="21"/>
                <w:color w:val="000000"/>
              </w:rPr>
              <w:t>18)《出入口控制系统工程设计规范》（GB 50396-2007）；</w:t>
            </w:r>
          </w:p>
          <w:p>
            <w:pPr>
              <w:pStyle w:val="null3"/>
              <w:ind w:firstLine="420"/>
              <w:jc w:val="both"/>
            </w:pPr>
            <w:r>
              <w:rPr>
                <w:rFonts w:ascii="仿宋_GB2312" w:hAnsi="仿宋_GB2312" w:cs="仿宋_GB2312" w:eastAsia="仿宋_GB2312"/>
                <w:sz w:val="21"/>
                <w:color w:val="000000"/>
              </w:rPr>
              <w:t>19)《入侵报警系统工程设计规范》（GB 50394-2007）；</w:t>
            </w:r>
          </w:p>
          <w:p>
            <w:pPr>
              <w:pStyle w:val="null3"/>
              <w:ind w:firstLine="420"/>
              <w:jc w:val="both"/>
            </w:pPr>
            <w:r>
              <w:rPr>
                <w:rFonts w:ascii="仿宋_GB2312" w:hAnsi="仿宋_GB2312" w:cs="仿宋_GB2312" w:eastAsia="仿宋_GB2312"/>
                <w:sz w:val="21"/>
                <w:color w:val="000000"/>
              </w:rPr>
              <w:t>20)《视频安防监控系统设计规范》（GB 50395-2007）；</w:t>
            </w:r>
          </w:p>
          <w:p>
            <w:pPr>
              <w:pStyle w:val="null3"/>
              <w:ind w:firstLine="420"/>
              <w:jc w:val="both"/>
            </w:pPr>
            <w:r>
              <w:rPr>
                <w:rFonts w:ascii="仿宋_GB2312" w:hAnsi="仿宋_GB2312" w:cs="仿宋_GB2312" w:eastAsia="仿宋_GB2312"/>
                <w:sz w:val="21"/>
                <w:color w:val="000000"/>
              </w:rPr>
              <w:t>21)《安全防范工程技术规范》（GB 50348-2018）；</w:t>
            </w:r>
          </w:p>
          <w:p>
            <w:pPr>
              <w:pStyle w:val="null3"/>
              <w:ind w:firstLine="420"/>
              <w:jc w:val="both"/>
            </w:pPr>
            <w:r>
              <w:rPr>
                <w:rFonts w:ascii="仿宋_GB2312" w:hAnsi="仿宋_GB2312" w:cs="仿宋_GB2312" w:eastAsia="仿宋_GB2312"/>
                <w:sz w:val="21"/>
                <w:color w:val="000000"/>
              </w:rPr>
              <w:t>22)《视频显示系统工程技术规范》（GB 50464-2008）；</w:t>
            </w:r>
          </w:p>
          <w:p>
            <w:pPr>
              <w:pStyle w:val="null3"/>
              <w:ind w:firstLine="420"/>
              <w:jc w:val="both"/>
            </w:pPr>
            <w:r>
              <w:rPr>
                <w:rFonts w:ascii="仿宋_GB2312" w:hAnsi="仿宋_GB2312" w:cs="仿宋_GB2312" w:eastAsia="仿宋_GB2312"/>
                <w:sz w:val="21"/>
                <w:color w:val="000000"/>
              </w:rPr>
              <w:t>23)《防盗报警控制器通用技术条件》（GB 12663-2001）；</w:t>
            </w:r>
          </w:p>
          <w:p>
            <w:pPr>
              <w:pStyle w:val="null3"/>
              <w:ind w:firstLine="420"/>
              <w:jc w:val="both"/>
            </w:pPr>
            <w:r>
              <w:rPr>
                <w:rFonts w:ascii="仿宋_GB2312" w:hAnsi="仿宋_GB2312" w:cs="仿宋_GB2312" w:eastAsia="仿宋_GB2312"/>
                <w:sz w:val="21"/>
                <w:color w:val="000000"/>
              </w:rPr>
              <w:t>24)《火灾自动报警系统设计规范》（GB 50116-2013）；</w:t>
            </w:r>
          </w:p>
          <w:p>
            <w:pPr>
              <w:pStyle w:val="null3"/>
              <w:ind w:firstLine="420"/>
              <w:jc w:val="both"/>
            </w:pPr>
            <w:r>
              <w:rPr>
                <w:rFonts w:ascii="仿宋_GB2312" w:hAnsi="仿宋_GB2312" w:cs="仿宋_GB2312" w:eastAsia="仿宋_GB2312"/>
                <w:sz w:val="21"/>
                <w:color w:val="000000"/>
              </w:rPr>
              <w:t>25)《火灾自动报警系统施工及验收规范》（GB 50166-2019）；</w:t>
            </w:r>
          </w:p>
          <w:p>
            <w:pPr>
              <w:pStyle w:val="null3"/>
              <w:ind w:firstLine="420"/>
              <w:jc w:val="both"/>
            </w:pPr>
            <w:r>
              <w:rPr>
                <w:rFonts w:ascii="仿宋_GB2312" w:hAnsi="仿宋_GB2312" w:cs="仿宋_GB2312" w:eastAsia="仿宋_GB2312"/>
                <w:sz w:val="21"/>
                <w:color w:val="000000"/>
              </w:rPr>
              <w:t>26)《厅堂扩声系统设计规范》（GB 50371-2006）；</w:t>
            </w:r>
          </w:p>
          <w:p>
            <w:pPr>
              <w:pStyle w:val="null3"/>
              <w:ind w:firstLine="420"/>
              <w:jc w:val="both"/>
            </w:pPr>
            <w:r>
              <w:rPr>
                <w:rFonts w:ascii="仿宋_GB2312" w:hAnsi="仿宋_GB2312" w:cs="仿宋_GB2312" w:eastAsia="仿宋_GB2312"/>
                <w:sz w:val="21"/>
                <w:color w:val="000000"/>
              </w:rPr>
              <w:t>27)《建筑给水排水设计标准》（GB50015-2019）；</w:t>
            </w:r>
          </w:p>
          <w:p>
            <w:pPr>
              <w:pStyle w:val="null3"/>
              <w:ind w:firstLine="420"/>
              <w:jc w:val="both"/>
            </w:pPr>
            <w:r>
              <w:rPr>
                <w:rFonts w:ascii="仿宋_GB2312" w:hAnsi="仿宋_GB2312" w:cs="仿宋_GB2312" w:eastAsia="仿宋_GB2312"/>
                <w:sz w:val="21"/>
                <w:color w:val="000000"/>
              </w:rPr>
              <w:t>28)《民用建筑供暖通风与空气调节设计规范》（GB 50736-</w:t>
            </w:r>
          </w:p>
          <w:p>
            <w:pPr>
              <w:pStyle w:val="null3"/>
              <w:ind w:firstLine="420"/>
              <w:jc w:val="both"/>
            </w:pPr>
            <w:r>
              <w:rPr>
                <w:rFonts w:ascii="仿宋_GB2312" w:hAnsi="仿宋_GB2312" w:cs="仿宋_GB2312" w:eastAsia="仿宋_GB2312"/>
                <w:sz w:val="21"/>
                <w:color w:val="000000"/>
              </w:rPr>
              <w:t>2012）；</w:t>
            </w:r>
          </w:p>
          <w:p>
            <w:pPr>
              <w:pStyle w:val="null3"/>
              <w:ind w:firstLine="420"/>
              <w:jc w:val="both"/>
            </w:pPr>
            <w:r>
              <w:rPr>
                <w:rFonts w:ascii="仿宋_GB2312" w:hAnsi="仿宋_GB2312" w:cs="仿宋_GB2312" w:eastAsia="仿宋_GB2312"/>
                <w:sz w:val="21"/>
                <w:color w:val="000000"/>
              </w:rPr>
              <w:t>29)《通风与空调工程施工及验收规范》（GB50243-2016）；</w:t>
            </w:r>
          </w:p>
          <w:p>
            <w:pPr>
              <w:pStyle w:val="null3"/>
              <w:ind w:firstLine="420"/>
              <w:jc w:val="both"/>
            </w:pPr>
            <w:r>
              <w:rPr>
                <w:rFonts w:ascii="仿宋_GB2312" w:hAnsi="仿宋_GB2312" w:cs="仿宋_GB2312" w:eastAsia="仿宋_GB2312"/>
                <w:sz w:val="21"/>
                <w:color w:val="000000"/>
              </w:rPr>
              <w:t>30)《气体灭火系统设计规范》（GB 50370-2005）；</w:t>
            </w:r>
          </w:p>
          <w:p>
            <w:pPr>
              <w:pStyle w:val="null3"/>
              <w:ind w:firstLine="420"/>
              <w:jc w:val="both"/>
            </w:pPr>
            <w:r>
              <w:rPr>
                <w:rFonts w:ascii="仿宋_GB2312" w:hAnsi="仿宋_GB2312" w:cs="仿宋_GB2312" w:eastAsia="仿宋_GB2312"/>
                <w:sz w:val="21"/>
                <w:color w:val="000000"/>
              </w:rPr>
              <w:t>31)《建筑照明设计标准》（GB 50034-2013）；</w:t>
            </w:r>
          </w:p>
          <w:p>
            <w:pPr>
              <w:pStyle w:val="null3"/>
              <w:ind w:firstLine="420"/>
              <w:jc w:val="both"/>
            </w:pPr>
            <w:r>
              <w:rPr>
                <w:rFonts w:ascii="仿宋_GB2312" w:hAnsi="仿宋_GB2312" w:cs="仿宋_GB2312" w:eastAsia="仿宋_GB2312"/>
                <w:sz w:val="21"/>
                <w:color w:val="000000"/>
              </w:rPr>
              <w:t>32)《厅堂扩声系统设计规范》（GB 50371-2006）；</w:t>
            </w:r>
          </w:p>
          <w:p>
            <w:pPr>
              <w:pStyle w:val="null3"/>
              <w:ind w:firstLine="420"/>
              <w:jc w:val="both"/>
            </w:pPr>
            <w:r>
              <w:rPr>
                <w:rFonts w:ascii="仿宋_GB2312" w:hAnsi="仿宋_GB2312" w:cs="仿宋_GB2312" w:eastAsia="仿宋_GB2312"/>
                <w:sz w:val="21"/>
                <w:color w:val="000000"/>
              </w:rPr>
              <w:t>33)《厅堂扩声系统声学特性指标》（GYJ 25-1986）；</w:t>
            </w:r>
          </w:p>
          <w:p>
            <w:pPr>
              <w:pStyle w:val="null3"/>
              <w:ind w:firstLine="420"/>
              <w:jc w:val="both"/>
            </w:pPr>
            <w:r>
              <w:rPr>
                <w:rFonts w:ascii="仿宋_GB2312" w:hAnsi="仿宋_GB2312" w:cs="仿宋_GB2312" w:eastAsia="仿宋_GB2312"/>
                <w:sz w:val="21"/>
                <w:color w:val="000000"/>
              </w:rPr>
              <w:t>34)《厅堂扩声特性测量方法》（GB/T 4959-2011）；</w:t>
            </w:r>
          </w:p>
          <w:p>
            <w:pPr>
              <w:pStyle w:val="null3"/>
              <w:ind w:firstLine="420"/>
              <w:jc w:val="both"/>
            </w:pPr>
            <w:r>
              <w:rPr>
                <w:rFonts w:ascii="仿宋_GB2312" w:hAnsi="仿宋_GB2312" w:cs="仿宋_GB2312" w:eastAsia="仿宋_GB2312"/>
                <w:sz w:val="21"/>
                <w:color w:val="000000"/>
              </w:rPr>
              <w:t>35)《音频、视频和视听系统互连的优选配接值》（GB/T 14197-</w:t>
            </w:r>
          </w:p>
          <w:p>
            <w:pPr>
              <w:pStyle w:val="null3"/>
              <w:ind w:firstLine="420"/>
              <w:jc w:val="both"/>
            </w:pPr>
            <w:r>
              <w:rPr>
                <w:rFonts w:ascii="仿宋_GB2312" w:hAnsi="仿宋_GB2312" w:cs="仿宋_GB2312" w:eastAsia="仿宋_GB2312"/>
                <w:sz w:val="21"/>
                <w:color w:val="000000"/>
              </w:rPr>
              <w:t>2012）；</w:t>
            </w:r>
          </w:p>
          <w:p>
            <w:pPr>
              <w:pStyle w:val="null3"/>
              <w:ind w:firstLine="420"/>
              <w:jc w:val="both"/>
            </w:pPr>
            <w:r>
              <w:rPr>
                <w:rFonts w:ascii="仿宋_GB2312" w:hAnsi="仿宋_GB2312" w:cs="仿宋_GB2312" w:eastAsia="仿宋_GB2312"/>
                <w:sz w:val="21"/>
                <w:color w:val="000000"/>
              </w:rPr>
              <w:t>36)《通过语音传输指数客观评价言语可懂度》（GB/T</w:t>
            </w:r>
          </w:p>
          <w:p>
            <w:pPr>
              <w:pStyle w:val="null3"/>
              <w:ind w:firstLine="420"/>
              <w:jc w:val="both"/>
            </w:pPr>
            <w:r>
              <w:rPr>
                <w:rFonts w:ascii="仿宋_GB2312" w:hAnsi="仿宋_GB2312" w:cs="仿宋_GB2312" w:eastAsia="仿宋_GB2312"/>
                <w:sz w:val="21"/>
                <w:color w:val="000000"/>
              </w:rPr>
              <w:t>12060.16-2017）；</w:t>
            </w:r>
          </w:p>
          <w:p>
            <w:pPr>
              <w:pStyle w:val="null3"/>
              <w:ind w:firstLine="420"/>
              <w:jc w:val="both"/>
            </w:pPr>
            <w:r>
              <w:rPr>
                <w:rFonts w:ascii="仿宋_GB2312" w:hAnsi="仿宋_GB2312" w:cs="仿宋_GB2312" w:eastAsia="仿宋_GB2312"/>
                <w:sz w:val="21"/>
                <w:color w:val="000000"/>
              </w:rPr>
              <w:t>37)《室内混响时间测量规范》（GB/T 50076-2013）；</w:t>
            </w:r>
          </w:p>
          <w:p>
            <w:pPr>
              <w:pStyle w:val="null3"/>
              <w:ind w:firstLine="420"/>
              <w:jc w:val="both"/>
            </w:pPr>
            <w:r>
              <w:rPr>
                <w:rFonts w:ascii="仿宋_GB2312" w:hAnsi="仿宋_GB2312" w:cs="仿宋_GB2312" w:eastAsia="仿宋_GB2312"/>
                <w:sz w:val="21"/>
                <w:color w:val="000000"/>
              </w:rPr>
              <w:t>38)《民用建筑电气设计规范(附条文说明[另册]) 》（JGJ 16-</w:t>
            </w:r>
          </w:p>
          <w:p>
            <w:pPr>
              <w:pStyle w:val="null3"/>
              <w:ind w:firstLine="420"/>
              <w:jc w:val="both"/>
            </w:pPr>
            <w:r>
              <w:rPr>
                <w:rFonts w:ascii="仿宋_GB2312" w:hAnsi="仿宋_GB2312" w:cs="仿宋_GB2312" w:eastAsia="仿宋_GB2312"/>
                <w:sz w:val="21"/>
                <w:color w:val="000000"/>
              </w:rPr>
              <w:t>2008）；</w:t>
            </w:r>
          </w:p>
          <w:p>
            <w:pPr>
              <w:pStyle w:val="null3"/>
              <w:ind w:firstLine="420"/>
              <w:jc w:val="both"/>
            </w:pPr>
            <w:r>
              <w:rPr>
                <w:rFonts w:ascii="仿宋_GB2312" w:hAnsi="仿宋_GB2312" w:cs="仿宋_GB2312" w:eastAsia="仿宋_GB2312"/>
                <w:sz w:val="21"/>
                <w:color w:val="000000"/>
              </w:rPr>
              <w:t>39)《电气装置安装工程施工及验收规范》（DL/T 5759-2017）；</w:t>
            </w:r>
          </w:p>
          <w:p>
            <w:pPr>
              <w:pStyle w:val="null3"/>
              <w:ind w:firstLine="420"/>
              <w:jc w:val="both"/>
            </w:pPr>
            <w:r>
              <w:rPr>
                <w:rFonts w:ascii="仿宋_GB2312" w:hAnsi="仿宋_GB2312" w:cs="仿宋_GB2312" w:eastAsia="仿宋_GB2312"/>
                <w:sz w:val="21"/>
                <w:color w:val="000000"/>
              </w:rPr>
              <w:t>40)《建筑装饰装修工程质量验收标准》（GB 50210-2018）；</w:t>
            </w:r>
          </w:p>
          <w:p>
            <w:pPr>
              <w:pStyle w:val="null3"/>
              <w:ind w:firstLine="420"/>
              <w:jc w:val="both"/>
            </w:pPr>
            <w:r>
              <w:rPr>
                <w:rFonts w:ascii="仿宋_GB2312" w:hAnsi="仿宋_GB2312" w:cs="仿宋_GB2312" w:eastAsia="仿宋_GB2312"/>
                <w:sz w:val="21"/>
                <w:color w:val="000000"/>
              </w:rPr>
              <w:t>41)《建筑地面工程施工质量及验收规范》（GB 50209-2010）；</w:t>
            </w:r>
          </w:p>
          <w:p>
            <w:pPr>
              <w:pStyle w:val="null3"/>
              <w:ind w:firstLine="420"/>
              <w:jc w:val="both"/>
            </w:pPr>
            <w:r>
              <w:rPr>
                <w:rFonts w:ascii="仿宋_GB2312" w:hAnsi="仿宋_GB2312" w:cs="仿宋_GB2312" w:eastAsia="仿宋_GB2312"/>
                <w:sz w:val="21"/>
                <w:color w:val="000000"/>
              </w:rPr>
              <w:t>42)《民用建筑工程室内环境污染控制规范（2013版）》（GB</w:t>
            </w:r>
          </w:p>
          <w:p>
            <w:pPr>
              <w:pStyle w:val="null3"/>
              <w:ind w:firstLine="420"/>
              <w:jc w:val="both"/>
            </w:pPr>
            <w:r>
              <w:rPr>
                <w:rFonts w:ascii="仿宋_GB2312" w:hAnsi="仿宋_GB2312" w:cs="仿宋_GB2312" w:eastAsia="仿宋_GB2312"/>
                <w:sz w:val="21"/>
                <w:color w:val="000000"/>
              </w:rPr>
              <w:t>50325-2010）；</w:t>
            </w:r>
          </w:p>
          <w:p>
            <w:pPr>
              <w:pStyle w:val="null3"/>
              <w:ind w:firstLine="420"/>
              <w:jc w:val="both"/>
            </w:pPr>
            <w:r>
              <w:rPr>
                <w:rFonts w:ascii="仿宋_GB2312" w:hAnsi="仿宋_GB2312" w:cs="仿宋_GB2312" w:eastAsia="仿宋_GB2312"/>
                <w:sz w:val="21"/>
                <w:color w:val="000000"/>
              </w:rPr>
              <w:t>43)《建筑施工安全检查标准》（JGJ 59-2011）；</w:t>
            </w:r>
          </w:p>
          <w:p>
            <w:pPr>
              <w:pStyle w:val="null3"/>
              <w:ind w:firstLine="420"/>
              <w:jc w:val="both"/>
            </w:pPr>
            <w:r>
              <w:rPr>
                <w:rFonts w:ascii="仿宋_GB2312" w:hAnsi="仿宋_GB2312" w:cs="仿宋_GB2312" w:eastAsia="仿宋_GB2312"/>
                <w:sz w:val="21"/>
                <w:color w:val="000000"/>
              </w:rPr>
              <w:t>44)《施工现场临时用电安全技术规范》（JGJ 46-2005）；</w:t>
            </w:r>
          </w:p>
          <w:p>
            <w:pPr>
              <w:pStyle w:val="null3"/>
              <w:ind w:firstLine="420"/>
              <w:jc w:val="both"/>
            </w:pPr>
            <w:r>
              <w:rPr>
                <w:rFonts w:ascii="仿宋_GB2312" w:hAnsi="仿宋_GB2312" w:cs="仿宋_GB2312" w:eastAsia="仿宋_GB2312"/>
                <w:sz w:val="21"/>
                <w:color w:val="000000"/>
              </w:rPr>
              <w:t>45)《建筑施工现场环境与卫生标准》（JGJ 146-2013）；</w:t>
            </w:r>
          </w:p>
          <w:p>
            <w:pPr>
              <w:pStyle w:val="null3"/>
              <w:ind w:firstLine="420"/>
              <w:jc w:val="both"/>
            </w:pPr>
            <w:r>
              <w:rPr>
                <w:rFonts w:ascii="仿宋_GB2312" w:hAnsi="仿宋_GB2312" w:cs="仿宋_GB2312" w:eastAsia="仿宋_GB2312"/>
                <w:sz w:val="21"/>
                <w:color w:val="000000"/>
              </w:rPr>
              <w:t>46)《建筑照明设计标准》（GB 50034-2013）。</w:t>
            </w:r>
          </w:p>
          <w:p>
            <w:pPr>
              <w:pStyle w:val="null3"/>
              <w:ind w:firstLine="420"/>
              <w:jc w:val="both"/>
            </w:pPr>
            <w:r>
              <w:rPr>
                <w:rFonts w:ascii="仿宋_GB2312" w:hAnsi="仿宋_GB2312" w:cs="仿宋_GB2312" w:eastAsia="仿宋_GB2312"/>
                <w:sz w:val="21"/>
                <w:color w:val="000000"/>
              </w:rPr>
              <w:t>不限于上述所列规范；所有规范、标准版本如有更新以最新版本为准。如更新后的规范、标准与本设计任务书不符之处，以最新版的规范、标准为准，就相关内容告知建设方。</w:t>
            </w:r>
          </w:p>
          <w:p>
            <w:pPr>
              <w:pStyle w:val="null3"/>
              <w:ind w:firstLine="420"/>
              <w:jc w:val="both"/>
            </w:pPr>
            <w:r>
              <w:rPr>
                <w:rFonts w:ascii="仿宋_GB2312" w:hAnsi="仿宋_GB2312" w:cs="仿宋_GB2312" w:eastAsia="仿宋_GB2312"/>
                <w:sz w:val="21"/>
                <w:color w:val="000000"/>
              </w:rPr>
              <w:t>2.建设要求</w:t>
            </w:r>
          </w:p>
          <w:p>
            <w:pPr>
              <w:pStyle w:val="null3"/>
              <w:ind w:firstLine="420"/>
              <w:jc w:val="both"/>
            </w:pPr>
            <w:r>
              <w:rPr>
                <w:rFonts w:ascii="仿宋_GB2312" w:hAnsi="仿宋_GB2312" w:cs="仿宋_GB2312" w:eastAsia="仿宋_GB2312"/>
                <w:sz w:val="21"/>
                <w:color w:val="000000"/>
              </w:rPr>
              <w:t>2.1计算机网络系统</w:t>
            </w:r>
          </w:p>
          <w:p>
            <w:pPr>
              <w:pStyle w:val="null3"/>
              <w:ind w:firstLine="420"/>
              <w:jc w:val="both"/>
            </w:pPr>
            <w:r>
              <w:rPr>
                <w:rFonts w:ascii="仿宋_GB2312" w:hAnsi="仿宋_GB2312" w:cs="仿宋_GB2312" w:eastAsia="仿宋_GB2312"/>
                <w:sz w:val="21"/>
                <w:color w:val="000000"/>
              </w:rPr>
              <w:t>本项目网络配置分工作网、互联网等网络，具体应根据甲方具体工作实际需求设计。</w:t>
            </w:r>
          </w:p>
          <w:p>
            <w:pPr>
              <w:pStyle w:val="null3"/>
              <w:ind w:firstLine="420"/>
              <w:jc w:val="both"/>
            </w:pPr>
            <w:r>
              <w:rPr>
                <w:rFonts w:ascii="仿宋_GB2312" w:hAnsi="仿宋_GB2312" w:cs="仿宋_GB2312" w:eastAsia="仿宋_GB2312"/>
                <w:sz w:val="21"/>
                <w:color w:val="000000"/>
              </w:rPr>
              <w:t>2.2智慧楼宇系统</w:t>
            </w:r>
          </w:p>
          <w:p>
            <w:pPr>
              <w:pStyle w:val="null3"/>
              <w:ind w:firstLine="420"/>
              <w:jc w:val="both"/>
            </w:pPr>
            <w:r>
              <w:rPr>
                <w:rFonts w:ascii="仿宋_GB2312" w:hAnsi="仿宋_GB2312" w:cs="仿宋_GB2312" w:eastAsia="仿宋_GB2312"/>
                <w:sz w:val="21"/>
                <w:color w:val="000000"/>
              </w:rPr>
              <w:t>本系统包含但不限于视频监控、巡更系统、门禁管理等子系统。图像显示设置在分院一层监控室。系统前端信息点位根据需要主要部署在各层出入口及机房等重要房间。</w:t>
            </w:r>
          </w:p>
          <w:p>
            <w:pPr>
              <w:pStyle w:val="null3"/>
              <w:ind w:firstLine="420"/>
              <w:jc w:val="both"/>
            </w:pPr>
            <w:r>
              <w:rPr>
                <w:rFonts w:ascii="仿宋_GB2312" w:hAnsi="仿宋_GB2312" w:cs="仿宋_GB2312" w:eastAsia="仿宋_GB2312"/>
                <w:sz w:val="21"/>
                <w:color w:val="000000"/>
              </w:rPr>
              <w:t>2.3 应用系统</w:t>
            </w:r>
          </w:p>
          <w:p>
            <w:pPr>
              <w:pStyle w:val="null3"/>
              <w:ind w:firstLine="420"/>
              <w:jc w:val="both"/>
            </w:pPr>
            <w:r>
              <w:rPr>
                <w:rFonts w:ascii="仿宋_GB2312" w:hAnsi="仿宋_GB2312" w:cs="仿宋_GB2312" w:eastAsia="仿宋_GB2312"/>
                <w:sz w:val="21"/>
                <w:color w:val="000000"/>
              </w:rPr>
              <w:t>与本项目相关的业务系统、运维系统等。</w:t>
            </w:r>
          </w:p>
          <w:p>
            <w:pPr>
              <w:pStyle w:val="null3"/>
              <w:ind w:firstLine="420"/>
              <w:jc w:val="both"/>
            </w:pPr>
            <w:r>
              <w:rPr>
                <w:rFonts w:ascii="仿宋_GB2312" w:hAnsi="仿宋_GB2312" w:cs="仿宋_GB2312" w:eastAsia="仿宋_GB2312"/>
                <w:sz w:val="21"/>
                <w:color w:val="000000"/>
              </w:rPr>
              <w:t>2.3检务用房设计</w:t>
            </w:r>
          </w:p>
          <w:p>
            <w:pPr>
              <w:pStyle w:val="null3"/>
              <w:ind w:firstLine="420"/>
              <w:jc w:val="both"/>
            </w:pPr>
            <w:r>
              <w:rPr>
                <w:rFonts w:ascii="仿宋_GB2312" w:hAnsi="仿宋_GB2312" w:cs="仿宋_GB2312" w:eastAsia="仿宋_GB2312"/>
                <w:sz w:val="21"/>
                <w:color w:val="000000"/>
              </w:rPr>
              <w:t>需针对检察业务的需求，根据现有建筑格局及空间情况，设计划分工作区域。包含但不限于</w:t>
            </w:r>
            <w:r>
              <w:rPr>
                <w:rFonts w:ascii="仿宋_GB2312" w:hAnsi="仿宋_GB2312" w:cs="仿宋_GB2312" w:eastAsia="仿宋_GB2312"/>
                <w:sz w:val="21"/>
                <w:color w:val="000000"/>
              </w:rPr>
              <w:t>12309访客区，案管中心等。</w:t>
            </w:r>
          </w:p>
          <w:p>
            <w:pPr>
              <w:pStyle w:val="null3"/>
              <w:ind w:firstLine="420"/>
              <w:jc w:val="both"/>
            </w:pPr>
            <w:r>
              <w:rPr>
                <w:rFonts w:ascii="仿宋_GB2312" w:hAnsi="仿宋_GB2312" w:cs="仿宋_GB2312" w:eastAsia="仿宋_GB2312"/>
                <w:sz w:val="21"/>
                <w:color w:val="000000"/>
              </w:rPr>
              <w:t>除功能性房间的基础配套设计外，还应包括如下几部分设计内容：会议预定、音频扩声、数字会议发言及摄像系统、视频显示及切换、智能中央控制系统。</w:t>
            </w:r>
          </w:p>
          <w:p>
            <w:pPr>
              <w:pStyle w:val="null3"/>
              <w:ind w:firstLine="422"/>
              <w:jc w:val="both"/>
            </w:pPr>
            <w:r>
              <w:rPr>
                <w:rFonts w:ascii="仿宋_GB2312" w:hAnsi="仿宋_GB2312" w:cs="仿宋_GB2312" w:eastAsia="仿宋_GB2312"/>
                <w:sz w:val="21"/>
                <w:b/>
                <w:color w:val="000000"/>
              </w:rPr>
              <w:t>三、通用要求</w:t>
            </w:r>
          </w:p>
          <w:p>
            <w:pPr>
              <w:pStyle w:val="null3"/>
              <w:ind w:firstLine="420"/>
              <w:jc w:val="both"/>
            </w:pPr>
            <w:r>
              <w:rPr>
                <w:rFonts w:ascii="仿宋_GB2312" w:hAnsi="仿宋_GB2312" w:cs="仿宋_GB2312" w:eastAsia="仿宋_GB2312"/>
                <w:sz w:val="21"/>
                <w:color w:val="000000"/>
              </w:rPr>
              <w:t>各系统应采用当前主流方案、产品进行设计，需预留扩展性；各系统即独立又可协调运行；满足未来</w:t>
            </w:r>
            <w:r>
              <w:rPr>
                <w:rFonts w:ascii="仿宋_GB2312" w:hAnsi="仿宋_GB2312" w:cs="仿宋_GB2312" w:eastAsia="仿宋_GB2312"/>
                <w:sz w:val="21"/>
                <w:color w:val="000000"/>
              </w:rPr>
              <w:t>检察业务</w:t>
            </w:r>
            <w:r>
              <w:rPr>
                <w:rFonts w:ascii="仿宋_GB2312" w:hAnsi="仿宋_GB2312" w:cs="仿宋_GB2312" w:eastAsia="仿宋_GB2312"/>
                <w:sz w:val="21"/>
                <w:color w:val="000000"/>
              </w:rPr>
              <w:t>工作的发展需求；操作简便、突出集约化。</w:t>
            </w:r>
          </w:p>
          <w:p>
            <w:pPr>
              <w:pStyle w:val="null3"/>
              <w:ind w:firstLine="422"/>
              <w:jc w:val="both"/>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、履约周期</w:t>
            </w:r>
          </w:p>
          <w:p>
            <w:pPr>
              <w:pStyle w:val="null3"/>
              <w:ind w:firstLine="420"/>
              <w:jc w:val="both"/>
            </w:pPr>
            <w:r>
              <w:rPr>
                <w:rFonts w:ascii="仿宋_GB2312" w:hAnsi="仿宋_GB2312" w:cs="仿宋_GB2312" w:eastAsia="仿宋_GB2312"/>
                <w:sz w:val="21"/>
                <w:color w:val="000000"/>
              </w:rPr>
              <w:t>1.设计应符合相关国家规范要求。</w:t>
            </w:r>
          </w:p>
          <w:p>
            <w:pPr>
              <w:pStyle w:val="null3"/>
              <w:ind w:firstLine="420"/>
              <w:jc w:val="both"/>
            </w:pPr>
            <w:r>
              <w:rPr>
                <w:rFonts w:ascii="仿宋_GB2312" w:hAnsi="仿宋_GB2312" w:cs="仿宋_GB2312" w:eastAsia="仿宋_GB2312"/>
                <w:sz w:val="21"/>
                <w:color w:val="000000"/>
              </w:rPr>
              <w:t>2.设计采用系统应具有通用性。</w:t>
            </w:r>
          </w:p>
          <w:p>
            <w:pPr>
              <w:pStyle w:val="null3"/>
              <w:ind w:firstLine="420"/>
              <w:jc w:val="both"/>
            </w:pPr>
            <w:r>
              <w:rPr>
                <w:rFonts w:ascii="仿宋_GB2312" w:hAnsi="仿宋_GB2312" w:cs="仿宋_GB2312" w:eastAsia="仿宋_GB2312"/>
                <w:sz w:val="21"/>
                <w:color w:val="000000"/>
              </w:rPr>
              <w:t>3.设计还应包括材料设备清单，材料设备清单应按不同系统进行统计。</w:t>
            </w:r>
          </w:p>
          <w:p>
            <w:pPr>
              <w:pStyle w:val="null3"/>
              <w:ind w:firstLine="420"/>
              <w:jc w:val="both"/>
            </w:pPr>
            <w:r>
              <w:rPr>
                <w:rFonts w:ascii="仿宋_GB2312" w:hAnsi="仿宋_GB2312" w:cs="仿宋_GB2312" w:eastAsia="仿宋_GB2312"/>
                <w:sz w:val="21"/>
                <w:color w:val="000000"/>
              </w:rPr>
              <w:t>4.应在合同签订后10个工作日内提交方案设计。</w:t>
            </w:r>
          </w:p>
          <w:p>
            <w:pPr>
              <w:pStyle w:val="null3"/>
              <w:ind w:firstLine="422"/>
              <w:jc w:val="both"/>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、项目验收</w:t>
            </w:r>
          </w:p>
          <w:p>
            <w:pPr>
              <w:pStyle w:val="null3"/>
              <w:ind w:firstLine="420"/>
              <w:jc w:val="both"/>
            </w:pPr>
            <w:r>
              <w:rPr>
                <w:rFonts w:ascii="仿宋_GB2312" w:hAnsi="仿宋_GB2312" w:cs="仿宋_GB2312" w:eastAsia="仿宋_GB2312"/>
                <w:sz w:val="21"/>
                <w:color w:val="000000"/>
              </w:rPr>
              <w:t>1.验收标准：按</w:t>
            </w:r>
            <w:r>
              <w:rPr>
                <w:rFonts w:ascii="仿宋_GB2312" w:hAnsi="仿宋_GB2312" w:cs="仿宋_GB2312" w:eastAsia="仿宋_GB2312"/>
                <w:sz w:val="21"/>
                <w:color w:val="000000"/>
              </w:rPr>
              <w:t>磋商</w:t>
            </w:r>
            <w:r>
              <w:rPr>
                <w:rFonts w:ascii="仿宋_GB2312" w:hAnsi="仿宋_GB2312" w:cs="仿宋_GB2312" w:eastAsia="仿宋_GB2312"/>
                <w:sz w:val="21"/>
                <w:color w:val="000000"/>
              </w:rPr>
              <w:t>文件、</w:t>
            </w:r>
            <w:r>
              <w:rPr>
                <w:rFonts w:ascii="仿宋_GB2312" w:hAnsi="仿宋_GB2312" w:cs="仿宋_GB2312" w:eastAsia="仿宋_GB2312"/>
                <w:sz w:val="21"/>
                <w:color w:val="000000"/>
              </w:rPr>
              <w:t>响应</w:t>
            </w:r>
            <w:r>
              <w:rPr>
                <w:rFonts w:ascii="仿宋_GB2312" w:hAnsi="仿宋_GB2312" w:cs="仿宋_GB2312" w:eastAsia="仿宋_GB2312"/>
                <w:sz w:val="21"/>
                <w:color w:val="000000"/>
              </w:rPr>
              <w:t>文件、澄清函的整体效果等服务指标进行验收。各项指标均应符合验收标准及要求。</w:t>
            </w:r>
          </w:p>
          <w:p>
            <w:pPr>
              <w:pStyle w:val="null3"/>
              <w:ind w:firstLine="420"/>
              <w:jc w:val="both"/>
            </w:pPr>
            <w:r>
              <w:rPr>
                <w:rFonts w:ascii="仿宋_GB2312" w:hAnsi="仿宋_GB2312" w:cs="仿宋_GB2312" w:eastAsia="仿宋_GB2312"/>
                <w:sz w:val="21"/>
                <w:color w:val="000000"/>
              </w:rPr>
              <w:t>2.验收合格后，填写服务验收单，双方签字生效。</w:t>
            </w:r>
          </w:p>
          <w:p>
            <w:pPr>
              <w:pStyle w:val="null3"/>
              <w:ind w:firstLine="420"/>
              <w:jc w:val="both"/>
            </w:pPr>
            <w:r>
              <w:rPr>
                <w:rFonts w:ascii="仿宋_GB2312" w:hAnsi="仿宋_GB2312" w:cs="仿宋_GB2312" w:eastAsia="仿宋_GB2312"/>
                <w:sz w:val="21"/>
                <w:color w:val="000000"/>
              </w:rPr>
              <w:t>3.验收依据：</w:t>
            </w:r>
            <w:r>
              <w:rPr>
                <w:rFonts w:ascii="仿宋_GB2312" w:hAnsi="仿宋_GB2312" w:cs="仿宋_GB2312" w:eastAsia="仿宋_GB2312"/>
                <w:sz w:val="21"/>
                <w:color w:val="000000"/>
              </w:rPr>
              <w:t>合同文本；</w:t>
            </w:r>
            <w:r>
              <w:rPr>
                <w:rFonts w:ascii="仿宋_GB2312" w:hAnsi="仿宋_GB2312" w:cs="仿宋_GB2312" w:eastAsia="仿宋_GB2312"/>
                <w:sz w:val="21"/>
                <w:color w:val="000000"/>
              </w:rPr>
              <w:t>响应</w:t>
            </w:r>
            <w:r>
              <w:rPr>
                <w:rFonts w:ascii="仿宋_GB2312" w:hAnsi="仿宋_GB2312" w:cs="仿宋_GB2312" w:eastAsia="仿宋_GB2312"/>
                <w:sz w:val="21"/>
                <w:color w:val="000000"/>
              </w:rPr>
              <w:t>文件及澄清函、</w:t>
            </w:r>
            <w:r>
              <w:rPr>
                <w:rFonts w:ascii="仿宋_GB2312" w:hAnsi="仿宋_GB2312" w:cs="仿宋_GB2312" w:eastAsia="仿宋_GB2312"/>
                <w:sz w:val="21"/>
                <w:color w:val="000000"/>
              </w:rPr>
              <w:t>磋商</w:t>
            </w:r>
            <w:r>
              <w:rPr>
                <w:rFonts w:ascii="仿宋_GB2312" w:hAnsi="仿宋_GB2312" w:cs="仿宋_GB2312" w:eastAsia="仿宋_GB2312"/>
                <w:sz w:val="21"/>
                <w:color w:val="000000"/>
              </w:rPr>
              <w:t>文件；国家和行业制定的相应的标准和规范。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以服务要求为准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以服务要求为准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以服务要求为准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以服务要求为准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以服务要求为准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以服务要求为准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自合同签订之日起，到项目整体验收通过之日止。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应在合同签订后10个工作日内提交方案设计。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本项目方案设计文件经专家评审通过后一次性付清，成交人需在甲方付款前向初步方案设计单位支付初步方案设计费用67500元</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（1）供应商需要在线提交所有通过电子化交易平台实施的政府采购项目的响应文件，同时，线下提交纸质响应文件正本壹份、副本壹份。若电子响应文件与纸质响应文件不一致的，以电子响应文件为准。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保证金汇款声明函.docx 非联合体不分包磋商声明.docx 服务内容及服务邀请应答表 中小企业声明函 商务应答表 供应商应提交的相关资格证明材料 报价表 控股管理关系.docx 法定代表人授权书.docx 响应文件封面 书面声明.docx 残疾人福利性单位声明函 服务方案 标的清单 响应函 近三年无重大违法、违纪书面声明.docx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保证金汇款声明函.docx 非联合体不分包磋商声明.docx 服务内容及服务邀请应答表 中小企业声明函 商务应答表 供应商应提交的相关资格证明材料 报价表 控股管理关系.docx 法定代表人授权书.docx 响应文件封面 书面声明.docx 残疾人福利性单位声明函 服务方案 标的清单 响应函 近三年无重大违法、违纪书面声明.docx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（1）响应报价符合唯一性要求：（2）报价表填写符合要求；（3）计量单位、报价货币均符合磋商文件要求；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保证金汇款声明函.docx 非联合体不分包磋商声明.docx 服务内容及服务邀请应答表 中小企业声明函 商务应答表 供应商应提交的相关资格证明材料 报价表 控股管理关系.docx 法定代表人授权书.docx 响应文件封面 书面声明.docx 残疾人福利性单位声明函 服务方案 标的清单 响应函 近三年无重大违法、违纪书面声明.docx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保证金汇款声明函.docx 非联合体不分包磋商声明.docx 服务内容及服务邀请应答表 中小企业声明函 商务应答表 供应商应提交的相关资格证明材料 报价表 控股管理关系.docx 法定代表人授权书.docx 响应文件封面 书面声明.docx 残疾人福利性单位声明函 服务方案 标的清单 响应函 近三年无重大违法、违纪书面声明.docx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响应文件语言及有效期符合磋商文件要求。</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保证金汇款声明函.docx 非联合体不分包磋商声明.docx 服务内容及服务邀请应答表 中小企业声明函 商务应答表 供应商应提交的相关资格证明材料 报价表 控股管理关系.docx 法定代表人授权书.docx 响应文件封面 书面声明.docx 残疾人福利性单位声明函 服务方案 标的清单 响应函 近三年无重大违法、违纪书面声明.docx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（1）响应报价符合唯一性要求：（2）报价表填写符合要求；（3）计量单位、报价货币均符合磋商文件要求；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保证金汇款声明函.docx 非联合体不分包磋商声明.docx 服务内容及服务邀请应答表 中小企业声明函 商务应答表 供应商应提交的相关资格证明材料 报价表 控股管理关系.docx 法定代表人授权书.docx 响应文件封面 书面声明.docx 残疾人福利性单位声明函 服务方案 标的清单 响应函 近三年无重大违法、违纪书面声明.docx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具有住房和城乡建设部门颁发的通信工程监理甲级及以上资质，得3分。 具有住房和城乡建设部门颁发的机电安装工程监理乙级及以上资质，得3分。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拟投入总监理工程师</w:t>
            </w:r>
          </w:p>
        </w:tc>
        <w:tc>
          <w:tcPr>
            <w:tcW w:type="dxa" w:w="2492"/>
          </w:tcPr>
          <w:p>
            <w:pPr>
              <w:pStyle w:val="null3"/>
            </w:pPr>
            <w:r>
              <w:rPr>
                <w:rFonts w:ascii="仿宋_GB2312" w:hAnsi="仿宋_GB2312" w:cs="仿宋_GB2312" w:eastAsia="仿宋_GB2312"/>
              </w:rPr>
              <w:t>具有信息系统监理师资格证书，得1分。 具有中级及以上工程师职称证书，得2分。 具有信息系统项目管理师证书，得2分。 具有咨询工程师（投资）登记证书，得2分。 具有注册监理工程师证书（含通信工程专业），得2分。 具有注册信息安全专业人员（CISP）证书，得1分。 【评审依据：提供相关证书以及供应商为以上人员缴纳的近3个月的社保证明材料复印件并加盖供应商公章进行佐证（证书须在供应商名下），未提供或不满足不得分】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拟投入总监理工程师代表</w:t>
            </w:r>
          </w:p>
        </w:tc>
        <w:tc>
          <w:tcPr>
            <w:tcW w:type="dxa" w:w="2492"/>
          </w:tcPr>
          <w:p>
            <w:pPr>
              <w:pStyle w:val="null3"/>
            </w:pPr>
            <w:r>
              <w:rPr>
                <w:rFonts w:ascii="仿宋_GB2312" w:hAnsi="仿宋_GB2312" w:cs="仿宋_GB2312" w:eastAsia="仿宋_GB2312"/>
              </w:rPr>
              <w:t>具有信息系统监理师资格证书，得1分。 具有中级及以上工程师职称证书，得2分。 具有信息系统项目管理师证书，得2分。 具有咨询工程师（投资）登记证书，得2分。 具有注册监理工程师证书（含通信工程专业），得2分。 具有注册造价工程师证书，得1分。 【评审依据：提供相关证书以及供应商为以上人员缴纳的近3个月的社保证明材料复印件并加盖供应商公章进行佐证（证书须在供应商名下），未提供或不满足不得分】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拟投入监理团队成员</w:t>
            </w:r>
          </w:p>
        </w:tc>
        <w:tc>
          <w:tcPr>
            <w:tcW w:type="dxa" w:w="2492"/>
          </w:tcPr>
          <w:p>
            <w:pPr>
              <w:pStyle w:val="null3"/>
            </w:pPr>
            <w:r>
              <w:rPr>
                <w:rFonts w:ascii="仿宋_GB2312" w:hAnsi="仿宋_GB2312" w:cs="仿宋_GB2312" w:eastAsia="仿宋_GB2312"/>
              </w:rPr>
              <w:t>（1）团队成员（不含总监理工程师及总监理代表）具有信息系统监理师资格证书和系统分析师证书，得2分。 （2）团队成员（不含总监理工程师及总监理代表）具有信息系统监理师资格证书和安防系统工程师（高级）证书，得2分。 （3）团队成员（不含总监理工程师及总监理代表）具有信息系统监理师资格证书和注册信息安全专业人员（CISP）证书，得2分。 （4）团队成员（不含总监理工程师及总监理代表）具有信息系统监理师资格证书和信息信息项目管理师证书，得2分。 （5）团队成员（不含总监理工程师及总监理代表）具有信息系统监理师资格证书和软件工程造价师证书，得1分。 注： 1、若成员中同一人同时提供以上多个证书，不重复计分。 2、若成员中多人同时提供以上同一类证书，不重复计分。 【评审依据：提供相关证书以及供应商为以上人员缴纳的近3个月的社保证明材料复印件并加盖供应商公章进行佐证（证书须在供应商名下），未提供或不满足不得分】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投标人具有2021年1月1日至今监理过的类似监理项目业绩，每提供一个得2分，最多得10分。 （评审依据：提供监理合同关键页复印件并加盖供应商公章进行佐证，未提供或不满足不得分）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监理服务总体方案</w:t>
            </w:r>
          </w:p>
        </w:tc>
        <w:tc>
          <w:tcPr>
            <w:tcW w:type="dxa" w:w="2492"/>
          </w:tcPr>
          <w:p>
            <w:pPr>
              <w:pStyle w:val="null3"/>
            </w:pPr>
            <w:r>
              <w:rPr>
                <w:rFonts w:ascii="仿宋_GB2312" w:hAnsi="仿宋_GB2312" w:cs="仿宋_GB2312" w:eastAsia="仿宋_GB2312"/>
              </w:rPr>
              <w:t>监理服务总体方案中至少包括监理范围内容、监理工作流程、监理机构设置及人员计划、监理岗位设置与岗位职责等， 方案内容完整，科学合理得（7-10]分,方案内容基本完成，内容基本合理得（3-7]分，方案简单粗糙，内容缺乏合理性得[0-3]分，未响应不得分。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质量、进度、成本和变更控制管理体系</w:t>
            </w:r>
          </w:p>
        </w:tc>
        <w:tc>
          <w:tcPr>
            <w:tcW w:type="dxa" w:w="2492"/>
          </w:tcPr>
          <w:p>
            <w:pPr>
              <w:pStyle w:val="null3"/>
            </w:pPr>
            <w:r>
              <w:rPr>
                <w:rFonts w:ascii="仿宋_GB2312" w:hAnsi="仿宋_GB2312" w:cs="仿宋_GB2312" w:eastAsia="仿宋_GB2312"/>
              </w:rPr>
              <w:t>在质量、进度、成本和变更控制方面建立管理体系， 方案内容完整，科学合理得（7-10]分,方案内容基本完成，内容基本合理得（3-7]分，方案简单粗糙，内容缺乏合理性得[0-3]分，未响应不得分。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合同、信息、安全、文档管理体系</w:t>
            </w:r>
          </w:p>
        </w:tc>
        <w:tc>
          <w:tcPr>
            <w:tcW w:type="dxa" w:w="2492"/>
          </w:tcPr>
          <w:p>
            <w:pPr>
              <w:pStyle w:val="null3"/>
            </w:pPr>
            <w:r>
              <w:rPr>
                <w:rFonts w:ascii="仿宋_GB2312" w:hAnsi="仿宋_GB2312" w:cs="仿宋_GB2312" w:eastAsia="仿宋_GB2312"/>
              </w:rPr>
              <w:t>在合同、信息、安全、文档方面建立管理体系，方案内容完整，科学合理得（7-10]分,方案内容基本完成，内容基本合理得（3-7]分，方案简单粗糙，内容缺乏合理性得[0-3]分，未响应不得分。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组织协调</w:t>
            </w:r>
          </w:p>
        </w:tc>
        <w:tc>
          <w:tcPr>
            <w:tcW w:type="dxa" w:w="2492"/>
          </w:tcPr>
          <w:p>
            <w:pPr>
              <w:pStyle w:val="null3"/>
            </w:pPr>
            <w:r>
              <w:rPr>
                <w:rFonts w:ascii="仿宋_GB2312" w:hAnsi="仿宋_GB2312" w:cs="仿宋_GB2312" w:eastAsia="仿宋_GB2312"/>
              </w:rPr>
              <w:t>在组织协调方面建立管理体系，方案内容完整，科学合理得（7-10]分,方案内容基本完成，内容基本合理得（3-7]分，方案简单粗糙，内容缺乏合理性得[0-3]分，未响应不得分。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提出售后服务方案，方案内容完整，科学合理得（2-5]分,方案简单粗糙，内容缺乏合理性得[0-2]分，未响应不得分。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10%×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服务需求整体理解程度</w:t>
            </w:r>
          </w:p>
        </w:tc>
        <w:tc>
          <w:tcPr>
            <w:tcW w:type="dxa" w:w="2492"/>
          </w:tcPr>
          <w:p>
            <w:pPr>
              <w:pStyle w:val="null3"/>
            </w:pPr>
            <w:r>
              <w:rPr>
                <w:rFonts w:ascii="仿宋_GB2312" w:hAnsi="仿宋_GB2312" w:cs="仿宋_GB2312" w:eastAsia="仿宋_GB2312"/>
              </w:rPr>
              <w:t>供应商对本项目的服务需求整体理解程度进行阐述，包括但不限于①项目背景；②建设目标；③服务内容；④服务要求；⑤交付要求等内容详细完整、科学合理得(10-15]分；基本详细得(5-10]分；简单粗略得[0-5]分。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供应商提出针对于本项目的服务方案，方案内容包括但不限于①服务理念及特色；②项目设计方案及思路；③设计依据；④重难点分析；⑤保密措施等。 内容详细完整、科学合理得(10-15]分；基本详细得(5-10]分；简单粗略得[0-5]分。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供应商根据本项目特点，提供有针对性的质量保证措施，包括但不限于①质量管理标准；②质量管理目标及计划③质量管理具体措施；④安全保障计划及措施；⑤合理化建议等。 内容详细完整、科学合理得(6-10]分；基本详细得(2-6]分；简单粗略得[0-2]分。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工作计划及进度保证措施</w:t>
            </w:r>
          </w:p>
        </w:tc>
        <w:tc>
          <w:tcPr>
            <w:tcW w:type="dxa" w:w="2492"/>
          </w:tcPr>
          <w:p>
            <w:pPr>
              <w:pStyle w:val="null3"/>
            </w:pPr>
            <w:r>
              <w:rPr>
                <w:rFonts w:ascii="仿宋_GB2312" w:hAnsi="仿宋_GB2312" w:cs="仿宋_GB2312" w:eastAsia="仿宋_GB2312"/>
              </w:rPr>
              <w:t>供应商根据本项目特点，对工作计划及进度保证措施进行阐述，包括但不限于①控制目标和进度节点；②各阶段进度措施；③风险应对及保障保障措施；④资源配置计划等。 内容详细完整、科学合理得(6-10]分；基本详细得(2-6]分；简单粗略得[0-2]分。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后续服务保障措施</w:t>
            </w:r>
          </w:p>
        </w:tc>
        <w:tc>
          <w:tcPr>
            <w:tcW w:type="dxa" w:w="2492"/>
          </w:tcPr>
          <w:p>
            <w:pPr>
              <w:pStyle w:val="null3"/>
            </w:pPr>
            <w:r>
              <w:rPr>
                <w:rFonts w:ascii="仿宋_GB2312" w:hAnsi="仿宋_GB2312" w:cs="仿宋_GB2312" w:eastAsia="仿宋_GB2312"/>
              </w:rPr>
              <w:t>供应商根据本项目特点，针对后续服务保障措施进行阐述，包括但不限于①后续配合服务计划；②针对采购人的服务要求能够及时响应，并提供完整的服务承诺；③后续服务进度保障措施。④后续服务质量保障等内容详细完整、科学合理得(5-8]分；基本详细得(2-5]分；简单粗略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团队配备情况</w:t>
            </w:r>
          </w:p>
        </w:tc>
        <w:tc>
          <w:tcPr>
            <w:tcW w:type="dxa" w:w="2492"/>
          </w:tcPr>
          <w:p>
            <w:pPr>
              <w:pStyle w:val="null3"/>
            </w:pPr>
            <w:r>
              <w:rPr>
                <w:rFonts w:ascii="仿宋_GB2312" w:hAnsi="仿宋_GB2312" w:cs="仿宋_GB2312" w:eastAsia="仿宋_GB2312"/>
              </w:rPr>
              <w:t>供应商团队配备情况有针对性，能够确保项目顺利实施，根据拟派人员服务方案内容详细完整、科学合理得(7-12]分；基本详细得(3-7]分；简单粗略得[0-3]分。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供应商应提供自2021年1月1日以来类似项目业绩，每提供一项有效业绩证明材料得2分，最高得10分。 注：以合同复印件加盖公章为准。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重点难点分析内容及合理化建议</w:t>
            </w:r>
          </w:p>
        </w:tc>
        <w:tc>
          <w:tcPr>
            <w:tcW w:type="dxa" w:w="2492"/>
          </w:tcPr>
          <w:p>
            <w:pPr>
              <w:pStyle w:val="null3"/>
            </w:pPr>
            <w:r>
              <w:rPr>
                <w:rFonts w:ascii="仿宋_GB2312" w:hAnsi="仿宋_GB2312" w:cs="仿宋_GB2312" w:eastAsia="仿宋_GB2312"/>
              </w:rPr>
              <w:t>根据供应商提供针对本项目重点难点分析内容及应对方案进行评分：详细完整、科学合理得(6-10]分；基本详细得(2-6]分；简单粗略得[0-2]分。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10%×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详见附件：非联合体不分包磋商声明.docx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详见附件：非联合体不分包磋商声明.docx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