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版本号：ZXGJ-ZFCG-040120250418002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儿童及婴幼儿服装等16种产品质量监督抽查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ZXGJ-ZFCG-0401</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儿童及婴幼儿服装等16种产品质量监督抽查</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ZXGJ-ZFCG-0401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儿童及婴幼儿服装等16种产品质量监督抽查</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儿童及婴幼儿服装等16种产品质量监督抽查，共分为五个包（其中第一包：儿童及婴幼儿服装等4种产品质量监督抽查；第二包：童鞋等3种产品质量监督抽查；第三包：卫生陶瓷等4种产品质量监督抽查；第四包：泵（潜水电泵）等2种产品质量监督抽查；第五包:电动工具等3种产品质量监督抽查。具体内容详见招标文件。 采购预算：2481116.00元 资金来源：财政拨款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 ：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书：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p>
      <w:pPr>
        <w:pStyle w:val="null3"/>
      </w:pPr>
      <w:r>
        <w:rPr>
          <w:rFonts w:ascii="仿宋_GB2312" w:hAnsi="仿宋_GB2312" w:cs="仿宋_GB2312" w:eastAsia="仿宋_GB2312"/>
        </w:rPr>
        <w:t>3、检验检测机构资质认定证书：检验检测机构资质认定证书:供应商须提供合法有效的计量认证证书（CMA）</w:t>
      </w:r>
    </w:p>
    <w:p>
      <w:pPr>
        <w:pStyle w:val="null3"/>
      </w:pPr>
      <w:r>
        <w:rPr>
          <w:rFonts w:ascii="仿宋_GB2312" w:hAnsi="仿宋_GB2312" w:cs="仿宋_GB2312" w:eastAsia="仿宋_GB2312"/>
        </w:rPr>
        <w:t>4、财务状况报告：财务状况报告：提供2023或2024年度财务审计报告或开户银行出具的资信证明</w:t>
      </w:r>
    </w:p>
    <w:p>
      <w:pPr>
        <w:pStyle w:val="null3"/>
      </w:pPr>
      <w:r>
        <w:rPr>
          <w:rFonts w:ascii="仿宋_GB2312" w:hAnsi="仿宋_GB2312" w:cs="仿宋_GB2312" w:eastAsia="仿宋_GB2312"/>
        </w:rPr>
        <w:t>5、税收及社保缴纳证明：税收及社保缴纳证明：开标前近六个月内至少三个月的纳税凭证/证明和社会保障资金缴纳凭证/证明，依法免税的应提供相关证明材料</w:t>
      </w:r>
    </w:p>
    <w:p>
      <w:pPr>
        <w:pStyle w:val="null3"/>
      </w:pPr>
      <w:r>
        <w:rPr>
          <w:rFonts w:ascii="仿宋_GB2312" w:hAnsi="仿宋_GB2312" w:cs="仿宋_GB2312" w:eastAsia="仿宋_GB2312"/>
        </w:rPr>
        <w:t>6、网站截图：(6)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p>
      <w:pPr>
        <w:pStyle w:val="null3"/>
      </w:pPr>
      <w:r>
        <w:rPr>
          <w:rFonts w:ascii="仿宋_GB2312" w:hAnsi="仿宋_GB2312" w:cs="仿宋_GB2312" w:eastAsia="仿宋_GB2312"/>
        </w:rPr>
        <w:t>7、承诺书：本项目不接受从事承检产品生产、经营活动的供应商参与投标，供应商须提供相关声明</w:t>
      </w:r>
    </w:p>
    <w:p>
      <w:pPr>
        <w:pStyle w:val="null3"/>
      </w:pPr>
      <w:r>
        <w:rPr>
          <w:rFonts w:ascii="仿宋_GB2312" w:hAnsi="仿宋_GB2312" w:cs="仿宋_GB2312" w:eastAsia="仿宋_GB2312"/>
        </w:rPr>
        <w:t>8、承诺书：本项目不接受联合体投标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029-86638050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房雪娇、王超、王涛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采购包1：468,500.00元</w:t>
            </w:r>
          </w:p>
          <w:p>
            <w:pPr>
              <w:pStyle w:val="null3"/>
            </w:pPr>
            <w:r>
              <w:rPr>
                <w:rFonts w:ascii="仿宋_GB2312" w:hAnsi="仿宋_GB2312" w:cs="仿宋_GB2312" w:eastAsia="仿宋_GB2312"/>
              </w:rPr>
              <w:t>采购包2：417,616.00元</w:t>
            </w:r>
          </w:p>
          <w:p>
            <w:pPr>
              <w:pStyle w:val="null3"/>
            </w:pPr>
            <w:r>
              <w:rPr>
                <w:rFonts w:ascii="仿宋_GB2312" w:hAnsi="仿宋_GB2312" w:cs="仿宋_GB2312" w:eastAsia="仿宋_GB2312"/>
              </w:rPr>
              <w:t>采购包3：491,000.00元</w:t>
            </w:r>
          </w:p>
          <w:p>
            <w:pPr>
              <w:pStyle w:val="null3"/>
            </w:pPr>
            <w:r>
              <w:rPr>
                <w:rFonts w:ascii="仿宋_GB2312" w:hAnsi="仿宋_GB2312" w:cs="仿宋_GB2312" w:eastAsia="仿宋_GB2312"/>
              </w:rPr>
              <w:t>采购包4：500,000.00元</w:t>
            </w:r>
          </w:p>
          <w:p>
            <w:pPr>
              <w:pStyle w:val="null3"/>
            </w:pPr>
            <w:r>
              <w:rPr>
                <w:rFonts w:ascii="仿宋_GB2312" w:hAnsi="仿宋_GB2312" w:cs="仿宋_GB2312" w:eastAsia="仿宋_GB2312"/>
              </w:rPr>
              <w:t>采购包5：604,000.00元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印发的《招标代理服务收费管理暂行办法》（计价格〔2002〕1980号）和国家发展和改革委员会办公厅印发的《关于招标代理服务收费有关问题的通知》（发改办价格〔2003〕857号）的有关规定执行。各采购包代理服务费不足8000.00元的按照8000.00元收取。成交供应商在领取中标通知书前，须向采购代理机构一次性支付招标代理服务费。 户名：中昕国际项目管理有限公司 开户行：中国建设银行股份有限公司西安文景路支行 账号：61050178150000000278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联系人：房雪娇、王超、王涛</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地址：西安经济技术开发区凤城十二路首创禧悦里25幢A座16层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儿童及婴幼儿服装等16种产品质量监督抽查，共分为五个包（其中第一包：儿童及婴幼儿服装等4种产品质量监督抽查；第二包：童鞋等3种产品质量监督抽查；第三包：卫生陶瓷等4种产品质量监督抽查；第四包：泵（潜水电泵）等2种产品质量监督抽查；第五包:电动工具等3种产品质量监督抽查。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468,500.00</w:t>
      </w:r>
    </w:p>
    <w:p>
      <w:pPr>
        <w:pStyle w:val="null3"/>
      </w:pPr>
      <w:r>
        <w:rPr>
          <w:rFonts w:ascii="仿宋_GB2312" w:hAnsi="仿宋_GB2312" w:cs="仿宋_GB2312" w:eastAsia="仿宋_GB2312"/>
        </w:rPr>
        <w:t>采购包最高限价（元）: 468,500.00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儿童及婴幼儿服装等4种产品质量监督抽查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417,616.00</w:t>
      </w:r>
    </w:p>
    <w:p>
      <w:pPr>
        <w:pStyle w:val="null3"/>
      </w:pPr>
      <w:r>
        <w:rPr>
          <w:rFonts w:ascii="仿宋_GB2312" w:hAnsi="仿宋_GB2312" w:cs="仿宋_GB2312" w:eastAsia="仿宋_GB2312"/>
        </w:rPr>
        <w:t>采购包最高限价（元）: 417,616.00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童鞋等3种产品质量监督抽查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417,616.00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491,000.00</w:t>
      </w:r>
    </w:p>
    <w:p>
      <w:pPr>
        <w:pStyle w:val="null3"/>
      </w:pPr>
      <w:r>
        <w:rPr>
          <w:rFonts w:ascii="仿宋_GB2312" w:hAnsi="仿宋_GB2312" w:cs="仿宋_GB2312" w:eastAsia="仿宋_GB2312"/>
        </w:rPr>
        <w:t>采购包最高限价（元）: 491,000.00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卫生陶瓷等4种产品质量监督抽检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泵（潜水电泵）等2种产品质量监督抽查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604,000.00</w:t>
      </w:r>
    </w:p>
    <w:p>
      <w:pPr>
        <w:pStyle w:val="null3"/>
      </w:pPr>
      <w:r>
        <w:rPr>
          <w:rFonts w:ascii="仿宋_GB2312" w:hAnsi="仿宋_GB2312" w:cs="仿宋_GB2312" w:eastAsia="仿宋_GB2312"/>
        </w:rPr>
        <w:t>采购包最高限价（元）: 604,000.00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电动工具等3种产品质量监督抽查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标的名称：儿童及婴幼儿服装等4种产品质量监督抽查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24"/>
              <w:gridCol w:w="101"/>
              <w:gridCol w:w="1631"/>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3"/>
                    <w:gridCol w:w="109"/>
                    <w:gridCol w:w="141"/>
                    <w:gridCol w:w="94"/>
                    <w:gridCol w:w="106"/>
                    <w:gridCol w:w="91"/>
                    <w:gridCol w:w="82"/>
                    <w:gridCol w:w="353"/>
                    <w:gridCol w:w="359"/>
                  </w:tblGrid>
                  <w:tr>
                    <w:tc>
                      <w:tcPr>
                        <w:tcW w:type="dxa" w:w="7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41"/>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91"/>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1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3"/>
                        <w:vMerge/>
                        <w:tcBorders>
                          <w:top w:val="single" w:color="000000" w:sz="4"/>
                          <w:left w:val="single" w:color="000000" w:sz="4"/>
                          <w:bottom w:val="single" w:color="000000" w:sz="4"/>
                          <w:right w:val="single" w:color="000000" w:sz="4"/>
                        </w:tcBorders>
                      </w:tcPr>
                      <w:p/>
                    </w:tc>
                    <w:tc>
                      <w:tcPr>
                        <w:tcW w:type="dxa" w:w="109"/>
                        <w:vMerge/>
                        <w:tcBorders>
                          <w:top w:val="single" w:color="000000" w:sz="4"/>
                          <w:left w:val="none" w:color="000000" w:sz="4"/>
                          <w:bottom w:val="single" w:color="000000" w:sz="4"/>
                          <w:right w:val="single" w:color="000000" w:sz="4"/>
                        </w:tcBorders>
                      </w:tcPr>
                      <w:p/>
                    </w:tc>
                    <w:tc>
                      <w:tcPr>
                        <w:tcW w:type="dxa" w:w="141"/>
                        <w:vMerge/>
                        <w:tcBorders>
                          <w:top w:val="single" w:color="000000" w:sz="4"/>
                          <w:left w:val="none" w:color="000000" w:sz="4"/>
                          <w:bottom w:val="none" w:color="000000" w:sz="4"/>
                          <w:right w:val="single" w:color="000000" w:sz="4"/>
                        </w:tcBorders>
                      </w:tcP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2"/>
                        <w:vMerge/>
                        <w:tcBorders>
                          <w:top w:val="single" w:color="000000" w:sz="4"/>
                          <w:left w:val="none" w:color="000000" w:sz="4"/>
                          <w:bottom w:val="single" w:color="000000" w:sz="4"/>
                          <w:right w:val="single" w:color="000000" w:sz="4"/>
                        </w:tcBorders>
                      </w:tcP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儿童及婴幼儿服装</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0.01</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31701—2015</w:t>
                        </w:r>
                      </w:p>
                      <w:p>
                        <w:pPr>
                          <w:pStyle w:val="null3"/>
                          <w:jc w:val="center"/>
                        </w:pPr>
                        <w:r>
                          <w:rPr>
                            <w:rFonts w:ascii="仿宋_GB2312" w:hAnsi="仿宋_GB2312" w:cs="仿宋_GB2312" w:eastAsia="仿宋_GB2312"/>
                            <w:sz w:val="18"/>
                            <w:color w:val="000000"/>
                          </w:rPr>
                          <w:t>GB/T 31900—2015</w:t>
                        </w:r>
                      </w:p>
                      <w:p>
                        <w:pPr>
                          <w:pStyle w:val="null3"/>
                          <w:jc w:val="center"/>
                        </w:pPr>
                        <w:r>
                          <w:rPr>
                            <w:rFonts w:ascii="仿宋_GB2312" w:hAnsi="仿宋_GB2312" w:cs="仿宋_GB2312" w:eastAsia="仿宋_GB2312"/>
                            <w:sz w:val="18"/>
                            <w:color w:val="000000"/>
                          </w:rPr>
                          <w:t>GB/T 33271—2016</w:t>
                        </w:r>
                      </w:p>
                      <w:p>
                        <w:pPr>
                          <w:pStyle w:val="null3"/>
                          <w:jc w:val="center"/>
                        </w:pPr>
                        <w:r>
                          <w:rPr>
                            <w:rFonts w:ascii="仿宋_GB2312" w:hAnsi="仿宋_GB2312" w:cs="仿宋_GB2312" w:eastAsia="仿宋_GB2312"/>
                            <w:sz w:val="18"/>
                            <w:color w:val="000000"/>
                          </w:rPr>
                          <w:t>GB/T 39508—2020</w:t>
                        </w:r>
                      </w:p>
                      <w:p>
                        <w:pPr>
                          <w:pStyle w:val="null3"/>
                          <w:jc w:val="center"/>
                        </w:pPr>
                        <w:r>
                          <w:rPr>
                            <w:rFonts w:ascii="仿宋_GB2312" w:hAnsi="仿宋_GB2312" w:cs="仿宋_GB2312" w:eastAsia="仿宋_GB2312"/>
                            <w:sz w:val="18"/>
                            <w:color w:val="000000"/>
                          </w:rPr>
                          <w:t>FZ/T 08002—2022</w:t>
                        </w:r>
                      </w:p>
                      <w:p>
                        <w:pPr>
                          <w:pStyle w:val="null3"/>
                          <w:jc w:val="center"/>
                        </w:pPr>
                        <w:r>
                          <w:rPr>
                            <w:rFonts w:ascii="仿宋_GB2312" w:hAnsi="仿宋_GB2312" w:cs="仿宋_GB2312" w:eastAsia="仿宋_GB2312"/>
                            <w:sz w:val="18"/>
                            <w:color w:val="000000"/>
                          </w:rPr>
                          <w:t>FZ/T 73025—2019</w:t>
                        </w:r>
                      </w:p>
                      <w:p>
                        <w:pPr>
                          <w:pStyle w:val="null3"/>
                          <w:jc w:val="center"/>
                        </w:pPr>
                        <w:r>
                          <w:rPr>
                            <w:rFonts w:ascii="仿宋_GB2312" w:hAnsi="仿宋_GB2312" w:cs="仿宋_GB2312" w:eastAsia="仿宋_GB2312"/>
                            <w:sz w:val="18"/>
                            <w:color w:val="000000"/>
                          </w:rPr>
                          <w:t>FZ/T 73045—2013</w:t>
                        </w:r>
                      </w:p>
                      <w:p>
                        <w:pPr>
                          <w:pStyle w:val="null3"/>
                          <w:jc w:val="center"/>
                        </w:pPr>
                        <w:r>
                          <w:rPr>
                            <w:rFonts w:ascii="仿宋_GB2312" w:hAnsi="仿宋_GB2312" w:cs="仿宋_GB2312" w:eastAsia="仿宋_GB2312"/>
                            <w:sz w:val="18"/>
                            <w:color w:val="000000"/>
                          </w:rPr>
                          <w:t>现行有效的企业标准、团体标准、地方标准及产品明示质量要求</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醛含量、pH值、可分解致癌芳香胺染料、耐水色牢度、耐酸汗渍色牢度、耐碱汗渍色牢度、耐干摩擦色牢度、耐湿摩擦色牢度、耐唾液色牢度、纤维含量、重金属、邻苯二甲酸酯、附件抗拉强力、绳带要求、附件锐利性、羽绒含绒量、绒子含量、鸭毛（绒）含量、鹅毛绒含量、异味、金属针、耐久性标签缝制位置</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老年人服装</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0.025</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18401—2010</w:t>
                        </w:r>
                      </w:p>
                      <w:p>
                        <w:pPr>
                          <w:pStyle w:val="null3"/>
                          <w:jc w:val="center"/>
                        </w:pPr>
                        <w:r>
                          <w:rPr>
                            <w:rFonts w:ascii="仿宋_GB2312" w:hAnsi="仿宋_GB2312" w:cs="仿宋_GB2312" w:eastAsia="仿宋_GB2312"/>
                            <w:sz w:val="18"/>
                            <w:color w:val="000000"/>
                          </w:rPr>
                          <w:t>GB/T 29862—2013</w:t>
                        </w:r>
                      </w:p>
                      <w:p>
                        <w:pPr>
                          <w:pStyle w:val="null3"/>
                          <w:jc w:val="center"/>
                        </w:pPr>
                        <w:r>
                          <w:rPr>
                            <w:rFonts w:ascii="仿宋_GB2312" w:hAnsi="仿宋_GB2312" w:cs="仿宋_GB2312" w:eastAsia="仿宋_GB2312"/>
                            <w:sz w:val="18"/>
                            <w:color w:val="000000"/>
                          </w:rPr>
                          <w:t>GB/T 2662—2017</w:t>
                        </w:r>
                      </w:p>
                      <w:p>
                        <w:pPr>
                          <w:pStyle w:val="null3"/>
                          <w:jc w:val="center"/>
                        </w:pPr>
                        <w:r>
                          <w:rPr>
                            <w:rFonts w:ascii="仿宋_GB2312" w:hAnsi="仿宋_GB2312" w:cs="仿宋_GB2312" w:eastAsia="仿宋_GB2312"/>
                            <w:sz w:val="18"/>
                            <w:color w:val="000000"/>
                          </w:rPr>
                          <w:t>GB/T 22700—2016</w:t>
                        </w:r>
                      </w:p>
                      <w:p>
                        <w:pPr>
                          <w:pStyle w:val="null3"/>
                          <w:jc w:val="center"/>
                        </w:pPr>
                        <w:r>
                          <w:rPr>
                            <w:rFonts w:ascii="仿宋_GB2312" w:hAnsi="仿宋_GB2312" w:cs="仿宋_GB2312" w:eastAsia="仿宋_GB2312"/>
                            <w:sz w:val="18"/>
                            <w:color w:val="000000"/>
                          </w:rPr>
                          <w:t>GB/T 22849—2014</w:t>
                        </w:r>
                      </w:p>
                      <w:p>
                        <w:pPr>
                          <w:pStyle w:val="null3"/>
                          <w:jc w:val="center"/>
                        </w:pPr>
                        <w:r>
                          <w:rPr>
                            <w:rFonts w:ascii="仿宋_GB2312" w:hAnsi="仿宋_GB2312" w:cs="仿宋_GB2312" w:eastAsia="仿宋_GB2312"/>
                            <w:sz w:val="18"/>
                            <w:color w:val="000000"/>
                          </w:rPr>
                          <w:t>GB/T 26384—2011</w:t>
                        </w:r>
                      </w:p>
                      <w:p>
                        <w:pPr>
                          <w:pStyle w:val="null3"/>
                          <w:jc w:val="center"/>
                        </w:pPr>
                        <w:r>
                          <w:rPr>
                            <w:rFonts w:ascii="仿宋_GB2312" w:hAnsi="仿宋_GB2312" w:cs="仿宋_GB2312" w:eastAsia="仿宋_GB2312"/>
                            <w:sz w:val="18"/>
                            <w:color w:val="000000"/>
                          </w:rPr>
                          <w:t>GB/T 26385—2011</w:t>
                        </w:r>
                      </w:p>
                      <w:p>
                        <w:pPr>
                          <w:pStyle w:val="null3"/>
                          <w:jc w:val="center"/>
                        </w:pPr>
                        <w:r>
                          <w:rPr>
                            <w:rFonts w:ascii="仿宋_GB2312" w:hAnsi="仿宋_GB2312" w:cs="仿宋_GB2312" w:eastAsia="仿宋_GB2312"/>
                            <w:sz w:val="18"/>
                            <w:color w:val="000000"/>
                          </w:rPr>
                          <w:t>GB/T 35460—2017</w:t>
                        </w:r>
                      </w:p>
                      <w:p>
                        <w:pPr>
                          <w:pStyle w:val="null3"/>
                          <w:jc w:val="center"/>
                        </w:pPr>
                        <w:r>
                          <w:rPr>
                            <w:rFonts w:ascii="仿宋_GB2312" w:hAnsi="仿宋_GB2312" w:cs="仿宋_GB2312" w:eastAsia="仿宋_GB2312"/>
                            <w:sz w:val="18"/>
                            <w:color w:val="000000"/>
                          </w:rPr>
                          <w:t>其他产品明示标准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甲醛含量、pH值、可分解致癌芳香胺染料、异味、耐汗渍色牢度、 耐水色牢度、耐摩擦色牢度、纤维含量</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老年鞋</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15107-2013</w:t>
                        </w:r>
                      </w:p>
                      <w:p>
                        <w:pPr>
                          <w:pStyle w:val="null3"/>
                          <w:jc w:val="center"/>
                        </w:pPr>
                        <w:r>
                          <w:rPr>
                            <w:rFonts w:ascii="仿宋_GB2312" w:hAnsi="仿宋_GB2312" w:cs="仿宋_GB2312" w:eastAsia="仿宋_GB2312"/>
                            <w:sz w:val="18"/>
                            <w:color w:val="000000"/>
                          </w:rPr>
                          <w:t>QB/T 4329-2012</w:t>
                        </w:r>
                      </w:p>
                      <w:p>
                        <w:pPr>
                          <w:pStyle w:val="null3"/>
                          <w:jc w:val="center"/>
                        </w:pPr>
                        <w:r>
                          <w:rPr>
                            <w:rFonts w:ascii="仿宋_GB2312" w:hAnsi="仿宋_GB2312" w:cs="仿宋_GB2312" w:eastAsia="仿宋_GB2312"/>
                            <w:sz w:val="18"/>
                            <w:color w:val="000000"/>
                          </w:rPr>
                          <w:t>QB/T 1002-2015</w:t>
                        </w:r>
                      </w:p>
                      <w:p>
                        <w:pPr>
                          <w:pStyle w:val="null3"/>
                          <w:jc w:val="center"/>
                        </w:pPr>
                        <w:r>
                          <w:rPr>
                            <w:rFonts w:ascii="仿宋_GB2312" w:hAnsi="仿宋_GB2312" w:cs="仿宋_GB2312" w:eastAsia="仿宋_GB2312"/>
                            <w:sz w:val="18"/>
                            <w:color w:val="000000"/>
                          </w:rPr>
                          <w:t>QB/T 2955-2017</w:t>
                        </w:r>
                      </w:p>
                      <w:p>
                        <w:pPr>
                          <w:pStyle w:val="null3"/>
                          <w:jc w:val="center"/>
                        </w:pPr>
                        <w:r>
                          <w:rPr>
                            <w:rFonts w:ascii="仿宋_GB2312" w:hAnsi="仿宋_GB2312" w:cs="仿宋_GB2312" w:eastAsia="仿宋_GB2312"/>
                            <w:sz w:val="18"/>
                            <w:color w:val="000000"/>
                          </w:rPr>
                          <w:t>其他产品明示标准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旅游鞋：感官质量、帮底剥离强度、成鞋耐折性能、外底耐磨性能、外底与外中底粘合强度、衬里和内垫耐摩擦色牢度、可分解致癌芳香胺染料、游离或可部分水解的甲醛</w:t>
                        </w:r>
                      </w:p>
                      <w:p>
                        <w:pPr>
                          <w:pStyle w:val="null3"/>
                          <w:jc w:val="center"/>
                        </w:pPr>
                        <w:r>
                          <w:rPr>
                            <w:rFonts w:ascii="仿宋_GB2312" w:hAnsi="仿宋_GB2312" w:cs="仿宋_GB2312" w:eastAsia="仿宋_GB2312"/>
                            <w:sz w:val="18"/>
                            <w:color w:val="000000"/>
                          </w:rPr>
                          <w:t>布鞋：成鞋耐折性能、外底耐磨性能、衬里和内垫摩擦色牢度、帮底剥离强度、型底鞋跟硬度、可分解致癌芳香胺染料含量、游离或可部分水解的甲醛含量</w:t>
                        </w:r>
                      </w:p>
                      <w:p>
                        <w:pPr>
                          <w:pStyle w:val="null3"/>
                          <w:jc w:val="center"/>
                        </w:pPr>
                        <w:r>
                          <w:rPr>
                            <w:rFonts w:ascii="仿宋_GB2312" w:hAnsi="仿宋_GB2312" w:cs="仿宋_GB2312" w:eastAsia="仿宋_GB2312"/>
                            <w:sz w:val="18"/>
                            <w:color w:val="000000"/>
                          </w:rPr>
                          <w:t>皮鞋：帮底剥离强度、鞋帮拉出强度、成鞋耐折性能、外底耐磨性能、鞋跟结合力、成型底鞋跟硬度、衬里和内垫材料的耐摩擦色牢度、安装勾心或其他刚性支撑材料的要求、勾心纵向刚度、勾心硬度、勾心长度下限值、勾心弯曲性能、可分解有害芳香胺染料、游离或可部分水解的甲醛</w:t>
                        </w:r>
                      </w:p>
                      <w:p>
                        <w:pPr>
                          <w:pStyle w:val="null3"/>
                          <w:jc w:val="center"/>
                        </w:pPr>
                        <w:r>
                          <w:rPr>
                            <w:rFonts w:ascii="仿宋_GB2312" w:hAnsi="仿宋_GB2312" w:cs="仿宋_GB2312" w:eastAsia="仿宋_GB2312"/>
                            <w:sz w:val="18"/>
                            <w:color w:val="000000"/>
                          </w:rPr>
                          <w:t>休闲鞋：感官质量、剥离强度、耐折性能、外底耐磨性能、外底与外中底粘合强度、衬里和内垫摩擦色牢度、可分解致癌芳香胺染料、游离或可部分水解的甲醛</w:t>
                        </w:r>
                      </w:p>
                    </w:tc>
                  </w:tr>
                  <w:tr>
                    <w:tc>
                      <w:tcPr>
                        <w:tcW w:type="dxa" w:w="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品目4</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旅行箱包</w:t>
                        </w:r>
                      </w:p>
                    </w:tc>
                    <w:tc>
                      <w:tcPr>
                        <w:tcW w:type="dxa" w:w="1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w:t>
                        </w:r>
                      </w:p>
                    </w:tc>
                    <w:tc>
                      <w:tcPr>
                        <w:tcW w:type="dxa" w:w="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20400—2006</w:t>
                        </w:r>
                      </w:p>
                      <w:p>
                        <w:pPr>
                          <w:pStyle w:val="null3"/>
                          <w:jc w:val="center"/>
                        </w:pPr>
                        <w:r>
                          <w:rPr>
                            <w:rFonts w:ascii="仿宋_GB2312" w:hAnsi="仿宋_GB2312" w:cs="仿宋_GB2312" w:eastAsia="仿宋_GB2312"/>
                            <w:sz w:val="18"/>
                            <w:color w:val="000000"/>
                          </w:rPr>
                          <w:t>QB/T 2155—2018</w:t>
                        </w:r>
                      </w:p>
                      <w:p>
                        <w:pPr>
                          <w:pStyle w:val="null3"/>
                          <w:jc w:val="center"/>
                        </w:pPr>
                        <w:r>
                          <w:rPr>
                            <w:rFonts w:ascii="仿宋_GB2312" w:hAnsi="仿宋_GB2312" w:cs="仿宋_GB2312" w:eastAsia="仿宋_GB2312"/>
                            <w:sz w:val="18"/>
                            <w:color w:val="000000"/>
                          </w:rPr>
                          <w:t>其他产品明示标准</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拉杆耐疲劳性能、行走性能、振荡冲击性能、跌落性能、硬箱箱体耐静压性能、塑料硬箱箱面耐落球冲击性能、滚筒冲击性能、箱（包）锁耐用性能、缝合强度、游离甲醛、可分解有害芳香胺染料</w:t>
                        </w:r>
                      </w:p>
                    </w:tc>
                  </w:tr>
                </w:tbl>
                <w:p>
                  <w:pPr>
                    <w:pStyle w:val="null3"/>
                    <w:jc w:val="center"/>
                  </w:pPr>
                  <w:r>
                    <w:rPr>
                      <w:rFonts w:ascii="仿宋_GB2312" w:hAnsi="仿宋_GB2312" w:cs="仿宋_GB2312" w:eastAsia="仿宋_GB2312"/>
                      <w:sz w:val="19"/>
                    </w:rPr>
                    <w:t>供应商必须完成额定抽检批次数量。</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标的名称：童鞋等3种产品质量监督抽查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81"/>
                    <w:gridCol w:w="348"/>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1"/>
                        <w:vMerge/>
                        <w:tcBorders>
                          <w:top w:val="single" w:color="000000" w:sz="4"/>
                          <w:left w:val="none" w:color="000000" w:sz="4"/>
                          <w:bottom w:val="single" w:color="000000" w:sz="4"/>
                          <w:right w:val="single" w:color="000000" w:sz="4"/>
                        </w:tcBorders>
                      </w:tcP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童鞋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30585-2014</w:t>
                        </w:r>
                      </w:p>
                      <w:p>
                        <w:pPr>
                          <w:pStyle w:val="null3"/>
                          <w:jc w:val="center"/>
                        </w:pPr>
                        <w:r>
                          <w:rPr>
                            <w:rFonts w:ascii="仿宋_GB2312" w:hAnsi="仿宋_GB2312" w:cs="仿宋_GB2312" w:eastAsia="仿宋_GB2312"/>
                            <w:sz w:val="18"/>
                            <w:color w:val="000000"/>
                          </w:rPr>
                          <w:t>GB 25036-2021</w:t>
                        </w:r>
                      </w:p>
                      <w:p>
                        <w:pPr>
                          <w:pStyle w:val="null3"/>
                          <w:jc w:val="center"/>
                        </w:pPr>
                        <w:r>
                          <w:rPr>
                            <w:rFonts w:ascii="仿宋_GB2312" w:hAnsi="仿宋_GB2312" w:cs="仿宋_GB2312" w:eastAsia="仿宋_GB2312"/>
                            <w:sz w:val="18"/>
                            <w:color w:val="000000"/>
                          </w:rPr>
                          <w:t>GB 25038-2010</w:t>
                        </w:r>
                      </w:p>
                      <w:p>
                        <w:pPr>
                          <w:pStyle w:val="null3"/>
                          <w:jc w:val="center"/>
                        </w:pPr>
                        <w:r>
                          <w:rPr>
                            <w:rFonts w:ascii="仿宋_GB2312" w:hAnsi="仿宋_GB2312" w:cs="仿宋_GB2312" w:eastAsia="仿宋_GB2312"/>
                            <w:sz w:val="18"/>
                            <w:color w:val="000000"/>
                          </w:rPr>
                          <w:t>QB/T 4331-2021</w:t>
                        </w:r>
                      </w:p>
                      <w:p>
                        <w:pPr>
                          <w:pStyle w:val="null3"/>
                          <w:jc w:val="center"/>
                        </w:pPr>
                        <w:r>
                          <w:rPr>
                            <w:rFonts w:ascii="仿宋_GB2312" w:hAnsi="仿宋_GB2312" w:cs="仿宋_GB2312" w:eastAsia="仿宋_GB2312"/>
                            <w:sz w:val="18"/>
                            <w:color w:val="000000"/>
                          </w:rPr>
                          <w:t>QB/T 2880-2016</w:t>
                        </w:r>
                      </w:p>
                      <w:p>
                        <w:pPr>
                          <w:pStyle w:val="null3"/>
                          <w:jc w:val="center"/>
                        </w:pPr>
                        <w:r>
                          <w:rPr>
                            <w:rFonts w:ascii="仿宋_GB2312" w:hAnsi="仿宋_GB2312" w:cs="仿宋_GB2312" w:eastAsia="仿宋_GB2312"/>
                            <w:sz w:val="18"/>
                            <w:color w:val="000000"/>
                          </w:rPr>
                          <w:t>QB/T 4546-2021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帮底剥离强度或底墙与帮面剥离强度</w:t>
                        </w:r>
                        <w:r>
                          <w:rPr>
                            <w:rFonts w:ascii="仿宋_GB2312" w:hAnsi="仿宋_GB2312" w:cs="仿宋_GB2312" w:eastAsia="仿宋_GB2312"/>
                            <w:sz w:val="21"/>
                          </w:rPr>
                          <w:t>/</w:t>
                        </w:r>
                        <w:r>
                          <w:rPr>
                            <w:rFonts w:ascii="仿宋_GB2312" w:hAnsi="仿宋_GB2312" w:cs="仿宋_GB2312" w:eastAsia="仿宋_GB2312"/>
                            <w:sz w:val="21"/>
                          </w:rPr>
                          <w:t>剥离强度</w:t>
                        </w:r>
                        <w:r>
                          <w:rPr>
                            <w:rFonts w:ascii="仿宋_GB2312" w:hAnsi="仿宋_GB2312" w:cs="仿宋_GB2312" w:eastAsia="仿宋_GB2312"/>
                            <w:sz w:val="21"/>
                          </w:rPr>
                          <w:t>/</w:t>
                        </w:r>
                        <w:r>
                          <w:rPr>
                            <w:rFonts w:ascii="仿宋_GB2312" w:hAnsi="仿宋_GB2312" w:cs="仿宋_GB2312" w:eastAsia="仿宋_GB2312"/>
                            <w:sz w:val="21"/>
                          </w:rPr>
                          <w:t>围条与鞋帮粘合强度、外底耐磨性能</w:t>
                        </w:r>
                        <w:r>
                          <w:rPr>
                            <w:rFonts w:ascii="仿宋_GB2312" w:hAnsi="仿宋_GB2312" w:cs="仿宋_GB2312" w:eastAsia="仿宋_GB2312"/>
                            <w:sz w:val="21"/>
                          </w:rPr>
                          <w:t>/</w:t>
                        </w:r>
                        <w:r>
                          <w:rPr>
                            <w:rFonts w:ascii="仿宋_GB2312" w:hAnsi="仿宋_GB2312" w:cs="仿宋_GB2312" w:eastAsia="仿宋_GB2312"/>
                            <w:sz w:val="21"/>
                          </w:rPr>
                          <w:t>耐磨性能、外底硬度</w:t>
                        </w:r>
                      </w:p>
                      <w:p>
                        <w:pPr>
                          <w:pStyle w:val="null3"/>
                          <w:jc w:val="center"/>
                        </w:pPr>
                        <w:r>
                          <w:rPr>
                            <w:rFonts w:ascii="仿宋_GB2312" w:hAnsi="仿宋_GB2312" w:cs="仿宋_GB2312" w:eastAsia="仿宋_GB2312"/>
                            <w:sz w:val="21"/>
                          </w:rPr>
                          <w:t>物理机械安全性能、皮革和毛皮中的六价铬、可分解有害芳香胺染料、甲醛</w:t>
                        </w:r>
                        <w:r>
                          <w:rPr>
                            <w:rFonts w:ascii="仿宋_GB2312" w:hAnsi="仿宋_GB2312" w:cs="仿宋_GB2312" w:eastAsia="仿宋_GB2312"/>
                            <w:sz w:val="21"/>
                          </w:rPr>
                          <w:t>/</w:t>
                        </w:r>
                        <w:r>
                          <w:rPr>
                            <w:rFonts w:ascii="仿宋_GB2312" w:hAnsi="仿宋_GB2312" w:cs="仿宋_GB2312" w:eastAsia="仿宋_GB2312"/>
                            <w:sz w:val="21"/>
                          </w:rPr>
                          <w:t>游离甲醛、重金属总量（砷、铅、镉）、富马酸二甲酯、橡胶部件中的</w:t>
                        </w:r>
                        <w:r>
                          <w:rPr>
                            <w:rFonts w:ascii="仿宋_GB2312" w:hAnsi="仿宋_GB2312" w:cs="仿宋_GB2312" w:eastAsia="仿宋_GB2312"/>
                            <w:sz w:val="21"/>
                          </w:rPr>
                          <w:t>N-</w:t>
                        </w:r>
                        <w:r>
                          <w:rPr>
                            <w:rFonts w:ascii="仿宋_GB2312" w:hAnsi="仿宋_GB2312" w:cs="仿宋_GB2312" w:eastAsia="仿宋_GB2312"/>
                            <w:sz w:val="21"/>
                          </w:rPr>
                          <w:t>亚硝基胺（婴幼儿鞋）、邻苯二甲酸酯、可萃取的重金属、含氯酚</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运动鞋</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0.042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15107-2013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帮底剥离强度或底墙与帮面剥离强度、成鞋耐折性能、外底耐磨性能、外底与外中底粘合强度、可分解致癌芳香胺染料、游离或可部分水解的甲醛</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内衣（文胸）</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0.035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GB/T 8878-2014</w:t>
                        </w:r>
                      </w:p>
                      <w:p>
                        <w:pPr>
                          <w:pStyle w:val="null3"/>
                          <w:jc w:val="center"/>
                        </w:pPr>
                        <w:r>
                          <w:rPr>
                            <w:rFonts w:ascii="仿宋_GB2312" w:hAnsi="仿宋_GB2312" w:cs="仿宋_GB2312" w:eastAsia="仿宋_GB2312"/>
                            <w:sz w:val="18"/>
                          </w:rPr>
                          <w:t>GB/T 8878-2023</w:t>
                        </w:r>
                      </w:p>
                      <w:p>
                        <w:pPr>
                          <w:pStyle w:val="null3"/>
                          <w:jc w:val="center"/>
                        </w:pPr>
                        <w:r>
                          <w:rPr>
                            <w:rFonts w:ascii="仿宋_GB2312" w:hAnsi="仿宋_GB2312" w:cs="仿宋_GB2312" w:eastAsia="仿宋_GB2312"/>
                            <w:sz w:val="18"/>
                          </w:rPr>
                          <w:t>FZ/T 73012-2017</w:t>
                        </w:r>
                      </w:p>
                      <w:p>
                        <w:pPr>
                          <w:pStyle w:val="null3"/>
                          <w:jc w:val="center"/>
                        </w:pPr>
                        <w:r>
                          <w:rPr>
                            <w:rFonts w:ascii="仿宋_GB2312" w:hAnsi="仿宋_GB2312" w:cs="仿宋_GB2312" w:eastAsia="仿宋_GB2312"/>
                            <w:sz w:val="18"/>
                          </w:rPr>
                          <w:t>FZ/T 73019.1-2017</w:t>
                        </w:r>
                      </w:p>
                      <w:p>
                        <w:pPr>
                          <w:pStyle w:val="null3"/>
                          <w:jc w:val="center"/>
                        </w:pPr>
                        <w:r>
                          <w:rPr>
                            <w:rFonts w:ascii="仿宋_GB2312" w:hAnsi="仿宋_GB2312" w:cs="仿宋_GB2312" w:eastAsia="仿宋_GB2312"/>
                            <w:sz w:val="18"/>
                          </w:rPr>
                          <w:t>FZ/T 73019.2-2020</w:t>
                        </w:r>
                      </w:p>
                      <w:p>
                        <w:pPr>
                          <w:pStyle w:val="null3"/>
                          <w:jc w:val="center"/>
                        </w:pPr>
                        <w:r>
                          <w:rPr>
                            <w:rFonts w:ascii="仿宋_GB2312" w:hAnsi="仿宋_GB2312" w:cs="仿宋_GB2312" w:eastAsia="仿宋_GB2312"/>
                            <w:sz w:val="18"/>
                          </w:rPr>
                          <w:t>FZ/T 73024-2014</w:t>
                        </w:r>
                      </w:p>
                      <w:p>
                        <w:pPr>
                          <w:pStyle w:val="null3"/>
                          <w:jc w:val="center"/>
                        </w:pPr>
                        <w:r>
                          <w:rPr>
                            <w:rFonts w:ascii="仿宋_GB2312" w:hAnsi="仿宋_GB2312" w:cs="仿宋_GB2312" w:eastAsia="仿宋_GB2312"/>
                            <w:sz w:val="18"/>
                          </w:rPr>
                          <w:t>FZ/T 73036-2010</w:t>
                        </w:r>
                      </w:p>
                      <w:p>
                        <w:pPr>
                          <w:pStyle w:val="null3"/>
                          <w:jc w:val="center"/>
                        </w:pPr>
                        <w:r>
                          <w:rPr>
                            <w:rFonts w:ascii="仿宋_GB2312" w:hAnsi="仿宋_GB2312" w:cs="仿宋_GB2312" w:eastAsia="仿宋_GB2312"/>
                            <w:sz w:val="18"/>
                          </w:rPr>
                          <w:t>FZ/T 73046-2013</w:t>
                        </w:r>
                      </w:p>
                      <w:p>
                        <w:pPr>
                          <w:pStyle w:val="null3"/>
                          <w:jc w:val="center"/>
                        </w:pPr>
                        <w:r>
                          <w:rPr>
                            <w:rFonts w:ascii="仿宋_GB2312" w:hAnsi="仿宋_GB2312" w:cs="仿宋_GB2312" w:eastAsia="仿宋_GB2312"/>
                            <w:sz w:val="18"/>
                          </w:rPr>
                          <w:t>FZ/T 73046-2020</w:t>
                        </w:r>
                      </w:p>
                      <w:p>
                        <w:pPr>
                          <w:pStyle w:val="null3"/>
                          <w:jc w:val="center"/>
                        </w:pPr>
                        <w:r>
                          <w:rPr>
                            <w:rFonts w:ascii="仿宋_GB2312" w:hAnsi="仿宋_GB2312" w:cs="仿宋_GB2312" w:eastAsia="仿宋_GB2312"/>
                            <w:sz w:val="18"/>
                          </w:rPr>
                          <w:t>FZ/T 73051-2015</w:t>
                        </w:r>
                      </w:p>
                      <w:p>
                        <w:pPr>
                          <w:pStyle w:val="null3"/>
                          <w:jc w:val="center"/>
                        </w:pPr>
                        <w:r>
                          <w:rPr>
                            <w:rFonts w:ascii="仿宋_GB2312" w:hAnsi="仿宋_GB2312" w:cs="仿宋_GB2312" w:eastAsia="仿宋_GB2312"/>
                            <w:sz w:val="18"/>
                          </w:rPr>
                          <w:t>FZ/T 74002-2014</w:t>
                        </w:r>
                      </w:p>
                      <w:p>
                        <w:pPr>
                          <w:pStyle w:val="null3"/>
                          <w:jc w:val="center"/>
                        </w:pPr>
                        <w:r>
                          <w:rPr>
                            <w:rFonts w:ascii="仿宋_GB2312" w:hAnsi="仿宋_GB2312" w:cs="仿宋_GB2312" w:eastAsia="仿宋_GB2312"/>
                            <w:sz w:val="18"/>
                          </w:rPr>
                          <w:t>FZ/T 81020-2014</w:t>
                        </w:r>
                      </w:p>
                      <w:p>
                        <w:pPr>
                          <w:pStyle w:val="null3"/>
                          <w:jc w:val="center"/>
                        </w:pPr>
                        <w:r>
                          <w:rPr>
                            <w:rFonts w:ascii="仿宋_GB2312" w:hAnsi="仿宋_GB2312" w:cs="仿宋_GB2312" w:eastAsia="仿宋_GB2312"/>
                            <w:sz w:val="18"/>
                          </w:rPr>
                          <w:t>FZ/T 73066-2020</w:t>
                        </w:r>
                      </w:p>
                      <w:p>
                        <w:pPr>
                          <w:pStyle w:val="null3"/>
                          <w:jc w:val="center"/>
                        </w:pPr>
                        <w:r>
                          <w:rPr>
                            <w:rFonts w:ascii="仿宋_GB2312" w:hAnsi="仿宋_GB2312" w:cs="仿宋_GB2312" w:eastAsia="仿宋_GB2312"/>
                            <w:sz w:val="18"/>
                          </w:rPr>
                          <w:t>FZ/T 73069-2022</w:t>
                        </w:r>
                      </w:p>
                      <w:p>
                        <w:pPr>
                          <w:pStyle w:val="null3"/>
                          <w:jc w:val="center"/>
                        </w:pPr>
                        <w:r>
                          <w:rPr>
                            <w:rFonts w:ascii="仿宋_GB2312" w:hAnsi="仿宋_GB2312" w:cs="仿宋_GB2312" w:eastAsia="仿宋_GB2312"/>
                            <w:sz w:val="18"/>
                          </w:rPr>
                          <w:t>GB18401-2010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甲醛含量、pH值、可分解致癌芳香胺染料、耐水色牢度、耐酸汗渍色牢度、耐碱汗渍色牢度、耐干摩擦色牢度、纤维含量、吸湿发热</w:t>
                        </w:r>
                      </w:p>
                    </w:tc>
                  </w:tr>
                </w:tbl>
                <w:p>
                  <w:pPr>
                    <w:pStyle w:val="null3"/>
                    <w:jc w:val="center"/>
                  </w:pPr>
                  <w:r>
                    <w:rPr>
                      <w:rFonts w:ascii="仿宋_GB2312" w:hAnsi="仿宋_GB2312" w:cs="仿宋_GB2312" w:eastAsia="仿宋_GB2312"/>
                      <w:sz w:val="19"/>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标的名称：卫生陶瓷等4种产品质量监督抽检</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81"/>
                    <w:gridCol w:w="348"/>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1"/>
                        <w:vMerge/>
                        <w:tcBorders>
                          <w:top w:val="single" w:color="000000" w:sz="4"/>
                          <w:left w:val="none" w:color="000000" w:sz="4"/>
                          <w:bottom w:val="single" w:color="000000" w:sz="4"/>
                          <w:right w:val="single" w:color="000000" w:sz="4"/>
                        </w:tcBorders>
                      </w:tcP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卫生陶瓷（陶瓷坐便器）</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0.08</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6952-2015</w:t>
                        </w:r>
                      </w:p>
                      <w:p>
                        <w:pPr>
                          <w:pStyle w:val="null3"/>
                          <w:jc w:val="center"/>
                        </w:pPr>
                        <w:r>
                          <w:rPr>
                            <w:rFonts w:ascii="仿宋_GB2312" w:hAnsi="仿宋_GB2312" w:cs="仿宋_GB2312" w:eastAsia="仿宋_GB2312"/>
                            <w:sz w:val="18"/>
                            <w:color w:val="000000"/>
                          </w:rPr>
                          <w:t>GB 25502-2017</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水封深度、坐便器水封表面尺寸、便器用水量、洗净功能、排放功能、排水管道输送特性、水封回复功能、污水置换功能、卫生纸试验、冲水装置</w:t>
                        </w:r>
                      </w:p>
                      <w:p>
                        <w:pPr>
                          <w:pStyle w:val="null3"/>
                          <w:jc w:val="center"/>
                        </w:pPr>
                        <w:r>
                          <w:rPr>
                            <w:rFonts w:ascii="仿宋_GB2312" w:hAnsi="仿宋_GB2312" w:cs="仿宋_GB2312" w:eastAsia="仿宋_GB2312"/>
                            <w:sz w:val="18"/>
                            <w:color w:val="000000"/>
                          </w:rPr>
                          <w:t>安全水位、防虹吸功能、坐便器水效等级、坐便器水效限定值、进水阀CL标记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卫浴家具</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24977-2024</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台盆柜台面理化性能（耐液性、耐湿热、抗冲击强度）、木制部件漆膜理化性能（耐液性、耐湿热、耐干热、附着力、耐冷热温差、耐磨性、抗冲击）、</w:t>
                        </w:r>
                      </w:p>
                      <w:p>
                        <w:pPr>
                          <w:pStyle w:val="null3"/>
                          <w:jc w:val="center"/>
                        </w:pPr>
                        <w:r>
                          <w:rPr>
                            <w:rFonts w:ascii="仿宋_GB2312" w:hAnsi="仿宋_GB2312" w:cs="仿宋_GB2312" w:eastAsia="仿宋_GB2312"/>
                            <w:sz w:val="18"/>
                            <w:color w:val="000000"/>
                          </w:rPr>
                          <w:t>软硬质覆面理化性能（耐液性、耐湿热、耐干热、耐冷热温差）、金属件表面喷漆涂层理化性能（铅笔硬度、冲击强度、附着力）、金属件电镀层抗盐雾、产品耐水性、落地式柜台面垂直冲击、悬挂式柜（架）极限强度、产品中有害物质限量</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智能坐便器（智能马桶）</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38448—2019</w:t>
                        </w:r>
                      </w:p>
                      <w:p>
                        <w:pPr>
                          <w:pStyle w:val="null3"/>
                          <w:jc w:val="center"/>
                        </w:pPr>
                        <w:r>
                          <w:rPr>
                            <w:rFonts w:ascii="仿宋_GB2312" w:hAnsi="仿宋_GB2312" w:cs="仿宋_GB2312" w:eastAsia="仿宋_GB2312"/>
                            <w:sz w:val="18"/>
                            <w:color w:val="000000"/>
                          </w:rPr>
                          <w:t>GB 4706.1—2005</w:t>
                        </w:r>
                      </w:p>
                      <w:p>
                        <w:pPr>
                          <w:pStyle w:val="null3"/>
                          <w:jc w:val="center"/>
                        </w:pPr>
                        <w:r>
                          <w:rPr>
                            <w:rFonts w:ascii="仿宋_GB2312" w:hAnsi="仿宋_GB2312" w:cs="仿宋_GB2312" w:eastAsia="仿宋_GB2312"/>
                            <w:sz w:val="18"/>
                            <w:color w:val="000000"/>
                          </w:rPr>
                          <w:t>GB 4706.53—2008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单位周期能耗、智能坐便器清洗平均用水量、智能坐便器冲洗平均用水量、双冲智能坐便器冲洗全冲用水量、双冲智能坐便器半冲平均用水量、智能坐便器能效水效限定值、水温特性、喷头自洁、洗净功能、水封回复、污水置换、球排放、颗粒排放、混合介质排放、卫生纸排放、排水管道输送特性、坐圈加热功能、对触及带电部件的防护、输入功率和电流、发热、工作温度下的泄漏电流和电气强度、耐潮湿、泄漏电流和电气强度、非正常工作（不含19.11条款试验）、稳定性和机械危险、机械强度、结构（不含22.46条款）、内部布线、电源连接和外部软线、外部导线用接线端子、接地措施、螺钉和连接、耐热和耐燃</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品目4</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新型墙体材料（砖和砌块）</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0.02</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13544—2011</w:t>
                        </w:r>
                      </w:p>
                      <w:p>
                        <w:pPr>
                          <w:pStyle w:val="null3"/>
                          <w:jc w:val="center"/>
                        </w:pPr>
                        <w:r>
                          <w:rPr>
                            <w:rFonts w:ascii="仿宋_GB2312" w:hAnsi="仿宋_GB2312" w:cs="仿宋_GB2312" w:eastAsia="仿宋_GB2312"/>
                            <w:sz w:val="18"/>
                            <w:color w:val="000000"/>
                          </w:rPr>
                          <w:t>GB/T 13545—2014</w:t>
                        </w:r>
                      </w:p>
                      <w:p>
                        <w:pPr>
                          <w:pStyle w:val="null3"/>
                          <w:jc w:val="center"/>
                        </w:pPr>
                        <w:r>
                          <w:rPr>
                            <w:rFonts w:ascii="仿宋_GB2312" w:hAnsi="仿宋_GB2312" w:cs="仿宋_GB2312" w:eastAsia="仿宋_GB2312"/>
                            <w:sz w:val="18"/>
                            <w:color w:val="000000"/>
                          </w:rPr>
                          <w:t>GB/T 11968-2020</w:t>
                        </w:r>
                      </w:p>
                      <w:p>
                        <w:pPr>
                          <w:pStyle w:val="null3"/>
                          <w:jc w:val="center"/>
                        </w:pPr>
                        <w:r>
                          <w:rPr>
                            <w:rFonts w:ascii="仿宋_GB2312" w:hAnsi="仿宋_GB2312" w:cs="仿宋_GB2312" w:eastAsia="仿宋_GB2312"/>
                            <w:sz w:val="18"/>
                            <w:color w:val="000000"/>
                          </w:rPr>
                          <w:t>GB/T 25779—2010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密度等级、强度等级、孔型孔结构及孔洞率、泛霜、石灰爆裂、抗风化性能、放射性核素限量、孔洞排列及其结构、干密度、抗压强度、干燥收缩、抗冻性、导热系数、孔洞率、最大吸水率、线性干燥收缩率、碳化系数、软化系数</w:t>
                        </w:r>
                      </w:p>
                    </w:tc>
                  </w:tr>
                </w:tbl>
                <w:p>
                  <w:pPr>
                    <w:pStyle w:val="null3"/>
                    <w:jc w:val="center"/>
                  </w:pPr>
                  <w:r>
                    <w:rPr>
                      <w:rFonts w:ascii="仿宋_GB2312" w:hAnsi="仿宋_GB2312" w:cs="仿宋_GB2312" w:eastAsia="仿宋_GB2312"/>
                      <w:sz w:val="19"/>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标的名称：泵（潜水电泵）等2种产品质量监督抽查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81"/>
                    <w:gridCol w:w="348"/>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70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81"/>
                        <w:vMerge/>
                        <w:tcBorders>
                          <w:top w:val="single" w:color="000000" w:sz="4"/>
                          <w:left w:val="none" w:color="000000" w:sz="4"/>
                          <w:bottom w:val="single" w:color="000000" w:sz="4"/>
                          <w:right w:val="single" w:color="000000" w:sz="4"/>
                        </w:tcBorders>
                      </w:tcP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泵（潜水电泵）</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2816-2014</w:t>
                        </w:r>
                      </w:p>
                      <w:p>
                        <w:pPr>
                          <w:pStyle w:val="null3"/>
                          <w:jc w:val="center"/>
                        </w:pPr>
                        <w:r>
                          <w:rPr>
                            <w:rFonts w:ascii="仿宋_GB2312" w:hAnsi="仿宋_GB2312" w:cs="仿宋_GB2312" w:eastAsia="仿宋_GB2312"/>
                            <w:sz w:val="18"/>
                            <w:color w:val="000000"/>
                          </w:rPr>
                          <w:t>GB/T 2818-2014</w:t>
                        </w:r>
                      </w:p>
                      <w:p>
                        <w:pPr>
                          <w:pStyle w:val="null3"/>
                          <w:jc w:val="center"/>
                        </w:pPr>
                        <w:r>
                          <w:rPr>
                            <w:rFonts w:ascii="仿宋_GB2312" w:hAnsi="仿宋_GB2312" w:cs="仿宋_GB2312" w:eastAsia="仿宋_GB2312"/>
                            <w:sz w:val="18"/>
                            <w:color w:val="000000"/>
                          </w:rPr>
                          <w:t>GB/T 24674-2009</w:t>
                        </w:r>
                      </w:p>
                      <w:p>
                        <w:pPr>
                          <w:pStyle w:val="null3"/>
                          <w:jc w:val="center"/>
                        </w:pPr>
                        <w:r>
                          <w:rPr>
                            <w:rFonts w:ascii="仿宋_GB2312" w:hAnsi="仿宋_GB2312" w:cs="仿宋_GB2312" w:eastAsia="仿宋_GB2312"/>
                            <w:sz w:val="18"/>
                            <w:color w:val="000000"/>
                          </w:rPr>
                          <w:t>GB/T 25409-2010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过载保护、接地措施、绝缘电阻、电泵引出电缆、定子绕组耐电压、效率、规定点流量与扬程、功率因数、定子温升限值、电机内腔水（气）压试验、安全标志</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耕整机（手扶微型耕耘机）</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10395.10－2006</w:t>
                        </w:r>
                      </w:p>
                      <w:p>
                        <w:pPr>
                          <w:pStyle w:val="null3"/>
                          <w:jc w:val="center"/>
                        </w:pPr>
                        <w:r>
                          <w:rPr>
                            <w:rFonts w:ascii="仿宋_GB2312" w:hAnsi="仿宋_GB2312" w:cs="仿宋_GB2312" w:eastAsia="仿宋_GB2312"/>
                            <w:sz w:val="18"/>
                            <w:color w:val="000000"/>
                          </w:rPr>
                          <w:t xml:space="preserve">GB 10396－2006   </w:t>
                        </w:r>
                      </w:p>
                      <w:p>
                        <w:pPr>
                          <w:pStyle w:val="null3"/>
                          <w:jc w:val="center"/>
                        </w:pPr>
                        <w:r>
                          <w:rPr>
                            <w:rFonts w:ascii="仿宋_GB2312" w:hAnsi="仿宋_GB2312" w:cs="仿宋_GB2312" w:eastAsia="仿宋_GB2312"/>
                            <w:sz w:val="18"/>
                            <w:color w:val="000000"/>
                          </w:rPr>
                          <w:t>JB/T 10266－2013</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安全要求、握持运行控制装置性能、握持运行控制装置影响发动机、安全标志、驾驶员操作位置噪声、定置环境噪声、起动性能、操纵手柄、操纵力、操纵柄自动回位、油门操纵机构</w:t>
                        </w:r>
                      </w:p>
                    </w:tc>
                  </w:tr>
                </w:tbl>
                <w:p>
                  <w:pPr>
                    <w:pStyle w:val="null3"/>
                    <w:jc w:val="center"/>
                  </w:pPr>
                  <w:r>
                    <w:rPr>
                      <w:rFonts w:ascii="仿宋_GB2312" w:hAnsi="仿宋_GB2312" w:cs="仿宋_GB2312" w:eastAsia="仿宋_GB2312"/>
                      <w:sz w:val="19"/>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19"/>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19"/>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标的名称：电动工具等3种产品质量监督抽查</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41"/>
              <w:gridCol w:w="104"/>
              <w:gridCol w:w="1608"/>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1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tbl>
                  <w:tblPr>
                    <w:tblBorders>
                      <w:top w:val="none" w:color="000000" w:sz="4"/>
                      <w:left w:val="none" w:color="000000" w:sz="4"/>
                      <w:bottom w:val="none" w:color="000000" w:sz="4"/>
                      <w:right w:val="none" w:color="000000" w:sz="4"/>
                      <w:insideH w:val="none"/>
                      <w:insideV w:val="none"/>
                    </w:tblBorders>
                  </w:tblPr>
                  <w:tblGrid>
                    <w:gridCol w:w="72"/>
                    <w:gridCol w:w="107"/>
                    <w:gridCol w:w="139"/>
                    <w:gridCol w:w="92"/>
                    <w:gridCol w:w="104"/>
                    <w:gridCol w:w="89"/>
                    <w:gridCol w:w="101"/>
                    <w:gridCol w:w="327"/>
                    <w:gridCol w:w="353"/>
                  </w:tblGrid>
                  <w:tr>
                    <w:tc>
                      <w:tcPr>
                        <w:tcW w:type="dxa" w:w="7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10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18"/>
                            <w:color w:val="000000"/>
                          </w:rPr>
                          <w:t>抽检产品</w:t>
                        </w:r>
                      </w:p>
                    </w:tc>
                    <w:tc>
                      <w:tcPr>
                        <w:tcW w:type="dxa" w:w="139"/>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购样单价</w:t>
                        </w:r>
                      </w:p>
                      <w:p>
                        <w:pPr>
                          <w:pStyle w:val="null3"/>
                          <w:jc w:val="center"/>
                        </w:pPr>
                        <w:r>
                          <w:rPr>
                            <w:rFonts w:ascii="仿宋_GB2312" w:hAnsi="仿宋_GB2312" w:cs="仿宋_GB2312" w:eastAsia="仿宋_GB2312"/>
                            <w:sz w:val="18"/>
                            <w:color w:val="000000"/>
                          </w:rPr>
                          <w:t>（万元/批次）</w:t>
                        </w:r>
                      </w:p>
                    </w:tc>
                    <w:tc>
                      <w:tcPr>
                        <w:tcW w:type="dxa" w:w="285"/>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额定抽检批次数</w:t>
                        </w:r>
                      </w:p>
                    </w:tc>
                    <w:tc>
                      <w:tcPr>
                        <w:tcW w:type="dxa" w:w="1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抽检批次数</w:t>
                        </w:r>
                      </w:p>
                    </w:tc>
                    <w:tc>
                      <w:tcPr>
                        <w:tcW w:type="dxa" w:w="68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检验标准</w:t>
                        </w:r>
                      </w:p>
                    </w:tc>
                  </w:tr>
                  <w:tr>
                    <w:tc>
                      <w:tcPr>
                        <w:tcW w:type="dxa" w:w="72"/>
                        <w:vMerge/>
                        <w:tcBorders>
                          <w:top w:val="single" w:color="000000" w:sz="4"/>
                          <w:left w:val="single" w:color="000000" w:sz="4"/>
                          <w:bottom w:val="single" w:color="000000" w:sz="4"/>
                          <w:right w:val="single" w:color="000000" w:sz="4"/>
                        </w:tcBorders>
                      </w:tcPr>
                      <w:p/>
                    </w:tc>
                    <w:tc>
                      <w:tcPr>
                        <w:tcW w:type="dxa" w:w="107"/>
                        <w:vMerge/>
                        <w:tcBorders>
                          <w:top w:val="single" w:color="000000" w:sz="4"/>
                          <w:left w:val="none" w:color="000000" w:sz="4"/>
                          <w:bottom w:val="single" w:color="000000" w:sz="4"/>
                          <w:right w:val="single" w:color="000000" w:sz="4"/>
                        </w:tcBorders>
                      </w:tcPr>
                      <w:p/>
                    </w:tc>
                    <w:tc>
                      <w:tcPr>
                        <w:tcW w:type="dxa" w:w="139"/>
                        <w:vMerge/>
                        <w:tcBorders>
                          <w:top w:val="single" w:color="000000" w:sz="4"/>
                          <w:left w:val="none" w:color="000000" w:sz="4"/>
                          <w:bottom w:val="none" w:color="000000" w:sz="4"/>
                          <w:right w:val="single" w:color="000000" w:sz="4"/>
                        </w:tcBorders>
                      </w:tcP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生产</w:t>
                        </w:r>
                        <w:r>
                          <w:br/>
                        </w:r>
                        <w:r>
                          <w:rPr>
                            <w:rFonts w:ascii="仿宋_GB2312" w:hAnsi="仿宋_GB2312" w:cs="仿宋_GB2312" w:eastAsia="仿宋_GB2312"/>
                            <w:sz w:val="18"/>
                            <w:color w:val="000000"/>
                          </w:rPr>
                          <w:t>企业</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实体店</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电商</w:t>
                        </w:r>
                      </w:p>
                    </w:tc>
                    <w:tc>
                      <w:tcPr>
                        <w:tcW w:type="dxa" w:w="101"/>
                        <w:vMerge/>
                        <w:tcBorders>
                          <w:top w:val="single" w:color="000000" w:sz="4"/>
                          <w:left w:val="none" w:color="000000" w:sz="4"/>
                          <w:bottom w:val="single" w:color="000000" w:sz="4"/>
                          <w:right w:val="single" w:color="000000" w:sz="4"/>
                        </w:tcBorders>
                      </w:tcP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执行标准</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检验项目/参数</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品目1</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电动工具</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0.15</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3883.1—2008 手持式电动工具的安全  第一部分：通用要求</w:t>
                        </w:r>
                      </w:p>
                      <w:p>
                        <w:pPr>
                          <w:pStyle w:val="null3"/>
                          <w:jc w:val="center"/>
                        </w:pPr>
                        <w:r>
                          <w:rPr>
                            <w:rFonts w:ascii="仿宋_GB2312" w:hAnsi="仿宋_GB2312" w:cs="仿宋_GB2312" w:eastAsia="仿宋_GB2312"/>
                            <w:sz w:val="18"/>
                            <w:color w:val="000000"/>
                          </w:rPr>
                          <w:t>GB/T 3883.1—2014 手持式、可移式电动工具和园林工具的安全  第1部分：通用要求</w:t>
                        </w:r>
                      </w:p>
                      <w:p>
                        <w:pPr>
                          <w:pStyle w:val="null3"/>
                          <w:jc w:val="center"/>
                        </w:pPr>
                        <w:r>
                          <w:rPr>
                            <w:rFonts w:ascii="仿宋_GB2312" w:hAnsi="仿宋_GB2312" w:cs="仿宋_GB2312" w:eastAsia="仿宋_GB2312"/>
                            <w:sz w:val="18"/>
                            <w:color w:val="000000"/>
                          </w:rPr>
                          <w:t>GB/T 3883.201—2017 手持式、可移式电动工具和园林工具的安全  第2部分：电钻和冲击电钻的专用要求（含第1号修改单）</w:t>
                        </w:r>
                      </w:p>
                      <w:p>
                        <w:pPr>
                          <w:pStyle w:val="null3"/>
                          <w:jc w:val="center"/>
                        </w:pPr>
                        <w:r>
                          <w:rPr>
                            <w:rFonts w:ascii="仿宋_GB2312" w:hAnsi="仿宋_GB2312" w:cs="仿宋_GB2312" w:eastAsia="仿宋_GB2312"/>
                            <w:sz w:val="18"/>
                            <w:color w:val="000000"/>
                          </w:rPr>
                          <w:t>GB/T 3883.7—2012 手持式电动工具的安全  第2部分：锤类工具的专用要求</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电钻：防止触及带电零件的保护、发热、泄漏电流、电气强度、机械危险、机械强度、结构、内部布线、电源联接和外接软线、接地装置、爬电距离、电气间隙和绝缘穿通距离</w:t>
                        </w:r>
                      </w:p>
                      <w:p>
                        <w:pPr>
                          <w:pStyle w:val="null3"/>
                          <w:jc w:val="center"/>
                        </w:pPr>
                        <w:r>
                          <w:rPr>
                            <w:rFonts w:ascii="仿宋_GB2312" w:hAnsi="仿宋_GB2312" w:cs="仿宋_GB2312" w:eastAsia="仿宋_GB2312"/>
                            <w:sz w:val="18"/>
                            <w:color w:val="000000"/>
                          </w:rPr>
                          <w:t>电锤：防止触及带电零件的保护、发热、泄漏电流、电气强度、机械危险、机械强度、结构、内部布线、电源联接和外接软线、接地装置、爬电距离、电气间隙和绝缘穿通距离</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品目2</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烟花爆竹</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0.04</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10631-2013,GB 19593-2015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 10631-2013</w:t>
                        </w:r>
                      </w:p>
                      <w:p>
                        <w:pPr>
                          <w:pStyle w:val="null3"/>
                          <w:jc w:val="center"/>
                        </w:pPr>
                        <w:r>
                          <w:rPr>
                            <w:rFonts w:ascii="仿宋_GB2312" w:hAnsi="仿宋_GB2312" w:cs="仿宋_GB2312" w:eastAsia="仿宋_GB2312"/>
                            <w:sz w:val="18"/>
                            <w:color w:val="000000"/>
                          </w:rPr>
                          <w:t>GB 19593-2015：包装、外观、部件（引燃装置引火线）、部件（引燃装置引火线牢固性）、部件（引燃装置引燃时间）、结构和材质、主体稳定性、燃放性能</w:t>
                        </w:r>
                      </w:p>
                      <w:p>
                        <w:pPr>
                          <w:pStyle w:val="null3"/>
                          <w:jc w:val="center"/>
                        </w:pPr>
                        <w:r>
                          <w:rPr>
                            <w:rFonts w:ascii="仿宋_GB2312" w:hAnsi="仿宋_GB2312" w:cs="仿宋_GB2312" w:eastAsia="仿宋_GB2312"/>
                            <w:sz w:val="18"/>
                            <w:color w:val="000000"/>
                          </w:rPr>
                          <w:t>GB 10631-2013：包装、外观、部件（部件牢固性）、部件（引燃装置）、部件（手持部位）、结构与材质、燃放性能</w:t>
                        </w:r>
                      </w:p>
                    </w:tc>
                  </w:tr>
                  <w:tr>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品目3</w:t>
                        </w:r>
                      </w:p>
                    </w:tc>
                    <w:tc>
                      <w:tcPr>
                        <w:tcW w:type="dxa" w:w="1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钢丝绳</w:t>
                        </w:r>
                      </w:p>
                    </w:tc>
                    <w:tc>
                      <w:tcPr>
                        <w:tcW w:type="dxa" w:w="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0.07</w:t>
                        </w:r>
                      </w:p>
                    </w:tc>
                    <w:tc>
                      <w:tcPr>
                        <w:tcW w:type="dxa" w:w="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GB/T 8918—2006 重要用途钢丝绳</w:t>
                        </w:r>
                      </w:p>
                      <w:p>
                        <w:pPr>
                          <w:pStyle w:val="null3"/>
                          <w:jc w:val="center"/>
                        </w:pPr>
                        <w:r>
                          <w:rPr>
                            <w:rFonts w:ascii="仿宋_GB2312" w:hAnsi="仿宋_GB2312" w:cs="仿宋_GB2312" w:eastAsia="仿宋_GB2312"/>
                            <w:sz w:val="18"/>
                            <w:color w:val="000000"/>
                          </w:rPr>
                          <w:t>GB/T 9944—2015 不锈钢丝绳</w:t>
                        </w:r>
                      </w:p>
                      <w:p>
                        <w:pPr>
                          <w:pStyle w:val="null3"/>
                          <w:jc w:val="center"/>
                        </w:pPr>
                        <w:r>
                          <w:rPr>
                            <w:rFonts w:ascii="仿宋_GB2312" w:hAnsi="仿宋_GB2312" w:cs="仿宋_GB2312" w:eastAsia="仿宋_GB2312"/>
                            <w:sz w:val="18"/>
                            <w:color w:val="000000"/>
                          </w:rPr>
                          <w:t>GB/T 14451—2008 操纵用钢丝绳</w:t>
                        </w:r>
                      </w:p>
                      <w:p>
                        <w:pPr>
                          <w:pStyle w:val="null3"/>
                          <w:jc w:val="center"/>
                        </w:pPr>
                        <w:r>
                          <w:rPr>
                            <w:rFonts w:ascii="仿宋_GB2312" w:hAnsi="仿宋_GB2312" w:cs="仿宋_GB2312" w:eastAsia="仿宋_GB2312"/>
                            <w:sz w:val="18"/>
                            <w:color w:val="000000"/>
                          </w:rPr>
                          <w:t>GB/T 20118—2017 钢丝绳通用技术条件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重要用途钢丝绳：直径、拆股钢丝实测直径、股的中心钢丝直径、拆股钢丝抗拉强度、拆股钢丝反复弯曲、拆股钢丝锌层重量、钢丝绳外观检查</w:t>
                        </w:r>
                      </w:p>
                      <w:p>
                        <w:pPr>
                          <w:pStyle w:val="null3"/>
                          <w:jc w:val="center"/>
                        </w:pPr>
                        <w:r>
                          <w:rPr>
                            <w:rFonts w:ascii="仿宋_GB2312" w:hAnsi="仿宋_GB2312" w:cs="仿宋_GB2312" w:eastAsia="仿宋_GB2312"/>
                            <w:sz w:val="18"/>
                            <w:color w:val="000000"/>
                          </w:rPr>
                          <w:t>钢丝绳（通用）：破断拉力、直径允许偏差、拆股钢丝实测直径、股的中心钢丝直径、拆股钢丝抗拉强度、拆股钢丝反复弯曲、拆股钢丝镀层重量、钢丝绳表面质量的检查</w:t>
                        </w:r>
                      </w:p>
                      <w:p>
                        <w:pPr>
                          <w:pStyle w:val="null3"/>
                          <w:jc w:val="center"/>
                        </w:pPr>
                        <w:r>
                          <w:rPr>
                            <w:rFonts w:ascii="仿宋_GB2312" w:hAnsi="仿宋_GB2312" w:cs="仿宋_GB2312" w:eastAsia="仿宋_GB2312"/>
                            <w:sz w:val="18"/>
                            <w:color w:val="000000"/>
                          </w:rPr>
                          <w:t>不锈钢丝绳：直径允许偏差、不圆度、钢丝绳表面质量</w:t>
                        </w:r>
                      </w:p>
                      <w:p>
                        <w:pPr>
                          <w:pStyle w:val="null3"/>
                          <w:jc w:val="center"/>
                        </w:pPr>
                        <w:r>
                          <w:rPr>
                            <w:rFonts w:ascii="仿宋_GB2312" w:hAnsi="仿宋_GB2312" w:cs="仿宋_GB2312" w:eastAsia="仿宋_GB2312"/>
                            <w:sz w:val="18"/>
                            <w:color w:val="000000"/>
                          </w:rPr>
                          <w:t>操纵用钢丝绳：直径、钢丝绳中性盐雾试验、拆股钢丝直径、拆股钢丝抗拉强度、拆股钢丝反复弯曲、拆股钢丝锌层重量、钢丝绳外观质量</w:t>
                        </w:r>
                      </w:p>
                    </w:tc>
                  </w:tr>
                </w:tbl>
                <w:p>
                  <w:pPr>
                    <w:pStyle w:val="null3"/>
                    <w:jc w:val="center"/>
                  </w:pPr>
                  <w:r>
                    <w:rPr>
                      <w:rFonts w:ascii="仿宋_GB2312" w:hAnsi="仿宋_GB2312" w:cs="仿宋_GB2312" w:eastAsia="仿宋_GB2312"/>
                      <w:sz w:val="21"/>
                    </w:rPr>
                    <w:t>供应商必须完成额定抽检批次数量。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根据《产品质量监督抽查管理暂行办法》要求，线下抽检需购买检验样品，备用样品只封存，不购买；线上抽检检验样品与备用样品都需购买。</w:t>
                  </w:r>
                </w:p>
                <w:p>
                  <w:pPr>
                    <w:pStyle w:val="null3"/>
                    <w:jc w:val="both"/>
                  </w:pPr>
                  <w:r>
                    <w:rPr>
                      <w:rFonts w:ascii="仿宋_GB2312" w:hAnsi="仿宋_GB2312" w:cs="仿宋_GB2312" w:eastAsia="仿宋_GB2312"/>
                      <w:sz w:val="21"/>
                    </w:rPr>
                    <w:t>（生产企业抽检批次数+实体店抽检批次数+电商抽检批次数×2）×单批次购样费+（生产企业抽检批次数+实体店抽检批次数+电商抽检批次数）×单批次抽检费用=预算经费。</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购样费指线下抽样的检验样品购买费、电商抽样的检验样品和备用样品购买费；抽检等费指抽样过程中发生的车辆保障费及人员旅差费、食宿费，检验费（含检验过程中发生的相关费用），相关文件资料（含检验报告等相关资料文书送达）中国邮政EMS邮寄费以及相关通讯费用，以及其他与抽检工作相关产生的费用。</w:t>
                  </w:r>
                </w:p>
                <w:p>
                  <w:pPr>
                    <w:pStyle w:val="null3"/>
                    <w:jc w:val="both"/>
                  </w:pPr>
                  <w:r>
                    <w:rPr>
                      <w:rFonts w:ascii="仿宋_GB2312" w:hAnsi="仿宋_GB2312" w:cs="仿宋_GB2312" w:eastAsia="仿宋_GB2312"/>
                      <w:sz w:val="21"/>
                    </w:rPr>
                    <w:t>2.预算经费为购样费与抽检等费用组成。定价招标，指预算经费和购样费平均单价不变的情况下，如抽样批次数增加，购样费则递增，按不超过中标批次的购样费，实报实销；如实际购样费用超出中标批次购样费，则自动占用预算经费，抽检等其他费用随之减少。如：A产品预算经费10万元，其中含购样费1万元，购样费单价平均每批次0.01万元不变，能抽样100批次。现某承检机构拟报价抽样200批次，那购样费增加为0.01万元×200批次=2万元，抽检等其他经费则为8万元。</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所配备人员充足切专业能力满足采购需求，可保证本项目顺利实施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所配备人员充足切专业能力满足采购需求，可保证本项目顺利实施</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所提供设施设备充足先进，满足检验要求，可保证本项目顺利实施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所提供设施设备充足先进，满足检验要求，可保证本项目顺利实施</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以采购文件及合同约定为准。验收依据：合同文本，招标文件，招标响应文件，供应商所出具的检验报告满足国家或行业规范执行标准。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服务期结束且验收合格后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 xml:space="preserve">服务期结束且验收合格后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服务期结束且验收合格后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服务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 5.乙方承诺有信息系统的，中标后实际未对接陕西省抽查系统数据端口的，扣除中标价1%的抽查经费；乙方无信息系统的，未按照承诺完成任务的，每延误要求的时间一天，扣除中标价0.2%的抽查经费，总扣除不超过2%。 6.乙方对接系统后，每延误要求的工作时间一天，扣除中标价0.1%的抽查经费，总扣除不超过1%。 7.乙方配备一名人员负责操作陕西省抽查系统并配合做好质量监督抽查结果处理等工作，如实际工作时未做到，将扣除中标价1%的抽查经费。</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 2、最终结算费用不超过采购包预算金额。</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额定抽检批次外增加批次数量填报表.pdf 服务内容及服务邀请应答表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承诺书.pdf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投标函 其他资格证明文件.pdf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承诺书.pdf 服务内容及服务邀请应答表 额定抽检批次外增加批次数量填报表.pdf 投标函 其他资格证明文件.pdf 人员组成及业绩证明.pdf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其他资格证明文件.pdf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投标文件提交截止日前六个月内任意一个月养老保险缴纳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检验检测机构资质认定证书</w:t>
            </w:r>
          </w:p>
        </w:tc>
        <w:tc>
          <w:tcPr>
            <w:tcW w:type="dxa" w:w="3322"/>
          </w:tcPr>
          <w:p>
            <w:pPr>
              <w:pStyle w:val="null3"/>
            </w:pPr>
            <w:r>
              <w:rPr>
                <w:rFonts w:ascii="仿宋_GB2312" w:hAnsi="仿宋_GB2312" w:cs="仿宋_GB2312" w:eastAsia="仿宋_GB2312"/>
              </w:rPr>
              <w:t>检验检测机构资质认定证书:供应商须提供合法有效的计量认证证书（CMA）</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财务状况报告：提供2023或2024年度财务审计报告或开户银行出具的资信证明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税收及社保缴纳证明</w:t>
            </w:r>
          </w:p>
        </w:tc>
        <w:tc>
          <w:tcPr>
            <w:tcW w:type="dxa" w:w="3322"/>
          </w:tcPr>
          <w:p>
            <w:pPr>
              <w:pStyle w:val="null3"/>
            </w:pPr>
            <w:r>
              <w:rPr>
                <w:rFonts w:ascii="仿宋_GB2312" w:hAnsi="仿宋_GB2312" w:cs="仿宋_GB2312" w:eastAsia="仿宋_GB2312"/>
              </w:rPr>
              <w:t>税收及社保缴纳证明：开标前近六个月内至少三个月的纳税凭证/证明和社会保障资金缴纳凭证/证明，依法免税的应提供相关证明材料</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(6)供应商应在信用中国（www.creditchina.gov.cn）未被列入失信被执行人、重大税收违法失信主体名单及在中国政府采购网（www.ccgp.gov.cn）未被列入政府采购严重违法失信行为记录名单（处罚期限届满的除外，如相关失信记录已失效，供应商需提供相关证明资料），须提供信用中国及中国政府采购网相应查询结果的网站截图</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本项目不接受从事承检产品生产、经营活动的供应商参与投标，供应商须提供相关声明</w:t>
            </w:r>
          </w:p>
        </w:tc>
        <w:tc>
          <w:tcPr>
            <w:tcW w:type="dxa" w:w="1661"/>
          </w:tcPr>
          <w:p>
            <w:pPr>
              <w:pStyle w:val="null3"/>
            </w:pPr>
            <w:r>
              <w:rPr>
                <w:rFonts w:ascii="仿宋_GB2312" w:hAnsi="仿宋_GB2312" w:cs="仿宋_GB2312" w:eastAsia="仿宋_GB2312"/>
              </w:rPr>
              <w:t>其他资格证明文件.pdf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其他资格证明文件.pdf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总抽检批次得分=品目1总抽检批次得分×25%+品目2总抽检批次得分×25%+品目3增加批次得分×25%+品目4增加批次得分×25% 品目1抽检批次得分：P=10×Pn/Pmax 品目2抽检批次得分：P=10×Pn/Pmax 品目3抽检批次得分：P=10×Pn/Pmax 品目4抽检批次得分：P=10×Pn/Pmax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总抽检批次得分=品目1总抽检批次得分×30%+品目2总抽检批次得分×40%+品目3总抽检批次得分×30% 品目1抽检批次得分：P=10×Pn/Pmax 品目2抽检批次得分：P=10×Pn/Pmax 品目3抽检批次得分：P=10×Pn/Pmax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总抽检批次得分=品目1总抽检批次得分×25%+品目2总抽检批次得分×25%+品目3增加批次得分×25%+品目4增加批次得分×25% 品目1抽检批次得分：P=10×Pn/Pmax 品目2抽检批次得分：P=10×Pn/Pmax 品目3抽检批次得分：P=10×Pn/Pmax 品目4抽检批次得分：P=10×Pn/Pmax</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C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 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总抽检批次得分=品目1总抽检批次得分×55%+品目2总抽检批次得分×45% 品目1抽检批次得分：P=10×Pn/Pmax 品目2抽检批次得分：P=10×Pn/Pmax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1.服务实施方案中需要对本项目的机构内部工作部署、抽样、样品接收及核查、检验、配合异议处理及复检的工作内容和安排、检验结果的处理、保密工作、检验结果数据追溯、应急工作的实施等内容进行合理安排和制定。 （1）机构内部工作部署方案，6分 方案编写贴近该产品实际抽查工作，要素完整，方案合理、可行，完全满足采购需求，得6分； 方案编写贴近该产品实际抽查工作，要素部分缺失，方案存在缺陷，部分满足招标文件要求，得4分； 方案要素不合理、不完整，难以满足招标文件要求的，得2分； 方案要素不合理、不完整，难以满足招标文件要求的，得2分； 未提供相关内容，得0分。 （2）抽检服务方案，6分 抽检服务方案包括：抽样工作的具体内容及组织安排；样品接收及核查机制；检验工作的具体内容及要求。 方案编写贴近该产品实际抽查工作，要素完整，方案合理、可行，完全满足采购需求，得6分； 方案编写贴近该产品实际抽查工作，要素基本完整，存在缺陷，部分满足招标文件要求，得4分； 方案未响应、不完整，难以满足招标文件要求的，得2分； 未提供相关内容，得0分。 （3）后期工作方案，8分 后期工作方案包括：配合异议处理及复检的工作内容和安排；检验结果的处理。 方案编写贴近该产品实际抽查工作，要素完整，方案合理、可行，完全满足采购需求，得8分； 方案编写贴近该产品实际抽查工作，要素基本完整，存在缺陷，部分满足招标文件要求，得5分； 方案未响应、不完整，难以满足招标文件要求的，2分。 未提供相关内容，得0分。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产品质量分析及应急保障</w:t>
            </w:r>
          </w:p>
        </w:tc>
        <w:tc>
          <w:tcPr>
            <w:tcW w:type="dxa" w:w="2492"/>
          </w:tcPr>
          <w:p>
            <w:pPr>
              <w:pStyle w:val="null3"/>
            </w:pPr>
            <w:r>
              <w:rPr>
                <w:rFonts w:ascii="仿宋_GB2312" w:hAnsi="仿宋_GB2312" w:cs="仿宋_GB2312" w:eastAsia="仿宋_GB2312"/>
              </w:rPr>
              <w:t>1.产业总体情况及质量现状分析方案，6分 产业总体情况及质量现状分析材料（方案中需要对国内产业分布情况、产业现状、产品的质量现状、应用前景和发展趋势进行分析）： 分析方案完整，具有针对性，具备上述要求的全部内容，得6分； 方案基本符合采购要求，但细节有待完善，得4分； 未响应或未提供，得0分。 2.应急保障，4分 重点难点分析及应对措施，应急预案和紧急事件处置措施（涉及因素：人员、时间、距离、地域市场熟悉度）。评审小组成员根据响应情况进行赋分： 重难点理解到位、应对措施合理可行，应急预案详细完整、处置措施针对性强得4分； 重难点理解基本到位、应对措施较为合理可行，应急预案较为详细得3分； 重难点理解及应对措施不合理，应急预案不详细得1分。 未响应或未提供，得0分。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设备设施</w:t>
            </w:r>
          </w:p>
        </w:tc>
        <w:tc>
          <w:tcPr>
            <w:tcW w:type="dxa" w:w="2492"/>
          </w:tcPr>
          <w:p>
            <w:pPr>
              <w:pStyle w:val="null3"/>
            </w:pPr>
            <w:r>
              <w:rPr>
                <w:rFonts w:ascii="仿宋_GB2312" w:hAnsi="仿宋_GB2312" w:cs="仿宋_GB2312" w:eastAsia="仿宋_GB2312"/>
              </w:rPr>
              <w:t>1.针对拟投入的仪器设备的先进性、可靠性以及数量等进行综合评价，提供仪器设备表和主要仪器设备在实验室得照片，满足采购需求的得4分。 2.对供应商拟投入的抽样活动所需的车辆及其他辅助设施等进行综合评价，提供3辆及以上的车辆行驶证且能够体现单位名称，及其他辅助设施得证明材料；根据其响应程度进行横向对比计3分，1辆车为1分，不提供为0分。 3.本单位有信息系统并提供相关佐证，承诺中标后将本单位信息系统与陕西省抽查系统数据端口对接得3分，中标后实际未对接的将扣除中标价1%的抽查经费；本单位无信息系统的，承诺按时保质完成任务得3分，中标后实际工作中每延误要求的时间一天，扣除中标价0.2%的抽查经费，总扣除不超过2%；对接了系统的单位，每延误要求的工作时间一天，扣除中标价0.1%的抽查经费，总扣除不超过1%。</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1.实验室检测设备配置情况，3分 投标人承诺仪器设备能够有效支撑完成所有检验项目，得3分；未提供承诺函或仪器设备不能满足检验要求，得0分；投标人须同时提供拟投入本项目的主要设备表和承诺函，否则不得分。 2.实验室条件，2分 投标人承诺试验场所环境能满足产品检验对环境设施的要求，得2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投入人员资质</w:t>
            </w:r>
          </w:p>
        </w:tc>
        <w:tc>
          <w:tcPr>
            <w:tcW w:type="dxa" w:w="2492"/>
          </w:tcPr>
          <w:p>
            <w:pPr>
              <w:pStyle w:val="null3"/>
            </w:pPr>
            <w:r>
              <w:rPr>
                <w:rFonts w:ascii="仿宋_GB2312" w:hAnsi="仿宋_GB2312" w:cs="仿宋_GB2312" w:eastAsia="仿宋_GB2312"/>
              </w:rPr>
              <w:t>根据供应商拟投入本项目的人员数量及相关行业职称水平赋分 1.检验人员，7分 具有与所投产品相关的中级（含）以上职称检验人员或具有10年以上所投产品检验工作经历的人员数量≥8人，得7分； 具有与所投产品相关的中级（含）以上职称检验人员或具有10年以上所投产品检验工作经历的人员数量介于4（含）人-7（含）人之间的，得3分； 其余得0分。 2.抽样人员，7分 抽样人员数量≥6人，得7分； 抽样人员数量介于4（含）人-6（不含）人之间的得3分； 其余得0分。 3.项目负责人，4分 所投产品的抽检工作项目负责人具有10年（含）以上检验工作经历并具有副高级（含）以上职称的，得4分，否则得0分。应提供项目负责人相关职称证明文件。 注：需提供上述项目团队人员清单、项目负责人简历及要求的相关职称证书复印件。 4.承诺配备一名人员负责操作陕西省抽查系统并配合做好质量监督抽查结果处理等工作得2分。如实际工作时未做到，将扣除中标价1%的抽查经费。</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根据供应商提供的已建立健全并组织实施的管理制度进行评价，制定的制度内容完整、科学合理、切实可行，应包括所列全部制度，根据其响应程度进行横向对比计0-7分，每缺一项制度扣 0.7分，扣完为止：（1）检验工作管理制度；（2）事故分析处理制度；（3）档案和技术资料管理制度；（4）待检和检后样品保管制度；（5）检验仪器设备使用制度；（6）仪器设备的维护、维修制度；（7）检验质量的申诉和投诉处理制度；（8）《质量手册》执行检查制度；（9）抽样管理制度；（10）反商业贿赂制度。</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检验检测能力</w:t>
            </w:r>
          </w:p>
        </w:tc>
        <w:tc>
          <w:tcPr>
            <w:tcW w:type="dxa" w:w="2492"/>
          </w:tcPr>
          <w:p>
            <w:pPr>
              <w:pStyle w:val="null3"/>
            </w:pPr>
            <w:r>
              <w:rPr>
                <w:rFonts w:ascii="仿宋_GB2312" w:hAnsi="仿宋_GB2312" w:cs="仿宋_GB2312" w:eastAsia="仿宋_GB2312"/>
              </w:rPr>
              <w:t>具备所投产品的全部检验检测能力，供应商提供的有效资质认定证书（CMA）及附表，对相应检验项目、检验依据及检验方法做好明显标记。具备所投包含产品所有全部检验检测能力的，得8分，有缺项的，按品目计算每涉及一品目产品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质量监督抽查检验工作经历，10分 2022年1月1日以来承担过该包中产品监督抽查工作任务，承担过该包中1种产品国家级监督抽查、质量安全风险监测、国家强制性产品认证有效性抽查任务得10分。每承担过1次该包中1种产品省级（含副省级城市）产（商）品质量监督抽查任务得5分；每承担过1次该包中1种产品市级产（商）品质量监督抽查任务得4分；取投标人得分最高的两次业绩计算得分。 注：投标人须提供任务下达部门文件、委托书或合同的主要内容页和签章页的扫描件，时间以证明文件落款时间为准。不具备或未提供有效证明文件的不得分。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抽检批次</w:t>
            </w:r>
          </w:p>
        </w:tc>
        <w:tc>
          <w:tcPr>
            <w:tcW w:type="dxa" w:w="2492"/>
          </w:tcPr>
          <w:p>
            <w:pPr>
              <w:pStyle w:val="null3"/>
            </w:pPr>
            <w:r>
              <w:rPr>
                <w:rFonts w:ascii="仿宋_GB2312" w:hAnsi="仿宋_GB2312" w:cs="仿宋_GB2312" w:eastAsia="仿宋_GB2312"/>
              </w:rPr>
              <w:t>总抽检批次得分=品目1总抽检批次得分×30%+品目2总抽检批次得分×50%+品目3总抽检批次得分×20% 品目1抽检批次得分：P=10×Pn/Pmax 品目2抽检批次得分：P=10×Pn/Pmax 品目3抽检批次得分：P=10×Pn/Pmax 其中：Pmax：所有有效供应商提交的该品目最终抽检批次中的最高值。 Pn：第n个供应商的该品目最终抽检批次。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C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详见附件：额定抽检批次外增加批次数量填报表.pdf</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详见附件：其他资格证明文件.pdf</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详见附件：人员组成及业绩证明.pdf</w:t>
      </w:r>
    </w:p>
    <w:p>
      <w:pPr>
        <w:pStyle w:val="null3"/>
        <w:ind w:firstLine="960"/>
      </w:pPr>
      <w:r>
        <w:rPr>
          <w:rFonts w:ascii="仿宋_GB2312" w:hAnsi="仿宋_GB2312" w:cs="仿宋_GB2312" w:eastAsia="仿宋_GB2312"/>
        </w:rPr>
        <w:t>详见附件：承诺书.pdf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