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FA76C">
      <w:pPr>
        <w:pStyle w:val="3"/>
        <w:spacing w:line="400" w:lineRule="exact"/>
        <w:ind w:left="0"/>
        <w:jc w:val="center"/>
        <w:rPr>
          <w:rFonts w:ascii="宋体" w:hAnsi="宋体" w:cs="宋体"/>
          <w:highlight w:val="none"/>
        </w:rPr>
      </w:pPr>
      <w:bookmarkStart w:id="0" w:name="_Toc26935"/>
      <w:bookmarkStart w:id="1" w:name="_Toc426457695"/>
      <w:bookmarkStart w:id="2" w:name="_Toc476"/>
      <w:bookmarkStart w:id="3" w:name="_Toc16572"/>
      <w:r>
        <w:rPr>
          <w:rFonts w:hint="eastAsia"/>
          <w:highlight w:val="none"/>
        </w:rPr>
        <w:t>合同条款及格式前附表</w:t>
      </w:r>
      <w:bookmarkEnd w:id="0"/>
      <w:bookmarkEnd w:id="1"/>
      <w:bookmarkEnd w:id="2"/>
      <w:bookmarkEnd w:id="3"/>
    </w:p>
    <w:p w14:paraId="74D3BD58">
      <w:pPr>
        <w:spacing w:line="400" w:lineRule="exact"/>
        <w:rPr>
          <w:highlight w:val="none"/>
        </w:rPr>
      </w:pPr>
      <w:r>
        <w:rPr>
          <w:rFonts w:hint="eastAsia"/>
          <w:b/>
          <w:bCs/>
          <w:highlight w:val="none"/>
        </w:rPr>
        <w:t>本表是对合同条款的具体补充和修改，如有矛盾，应以本资料表为准。</w:t>
      </w:r>
    </w:p>
    <w:tbl>
      <w:tblPr>
        <w:tblStyle w:val="8"/>
        <w:tblW w:w="4996"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61"/>
        <w:gridCol w:w="8542"/>
      </w:tblGrid>
      <w:tr w14:paraId="23FFC1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trPr>
        <w:tc>
          <w:tcPr>
            <w:tcW w:w="458" w:type="pct"/>
            <w:noWrap w:val="0"/>
            <w:vAlign w:val="center"/>
          </w:tcPr>
          <w:p w14:paraId="359CE15A">
            <w:pPr>
              <w:spacing w:line="360" w:lineRule="auto"/>
              <w:jc w:val="center"/>
              <w:rPr>
                <w:rFonts w:hAnsi="宋体" w:cs="宋体"/>
                <w:b/>
                <w:szCs w:val="24"/>
                <w:highlight w:val="none"/>
              </w:rPr>
            </w:pPr>
            <w:bookmarkStart w:id="4" w:name="_Toc426457694"/>
            <w:bookmarkStart w:id="5" w:name="_Toc403077645"/>
            <w:bookmarkStart w:id="6" w:name="_Toc15898"/>
            <w:bookmarkStart w:id="7" w:name="_Toc3798"/>
            <w:bookmarkStart w:id="8" w:name="_Toc11810"/>
            <w:r>
              <w:rPr>
                <w:rFonts w:hint="eastAsia" w:hAnsi="宋体" w:cs="宋体"/>
                <w:b/>
                <w:szCs w:val="24"/>
                <w:highlight w:val="none"/>
              </w:rPr>
              <w:t>序号</w:t>
            </w:r>
          </w:p>
        </w:tc>
        <w:tc>
          <w:tcPr>
            <w:tcW w:w="4541" w:type="pct"/>
            <w:noWrap w:val="0"/>
            <w:vAlign w:val="center"/>
          </w:tcPr>
          <w:p w14:paraId="6986A9D6">
            <w:pPr>
              <w:spacing w:line="360" w:lineRule="auto"/>
              <w:jc w:val="center"/>
              <w:rPr>
                <w:rFonts w:hAnsi="宋体" w:cs="宋体"/>
                <w:b/>
                <w:szCs w:val="24"/>
                <w:highlight w:val="none"/>
              </w:rPr>
            </w:pPr>
            <w:r>
              <w:rPr>
                <w:rFonts w:hint="eastAsia" w:hAnsi="宋体" w:cs="宋体"/>
                <w:b/>
                <w:szCs w:val="24"/>
                <w:highlight w:val="none"/>
              </w:rPr>
              <w:t>内      容</w:t>
            </w:r>
          </w:p>
        </w:tc>
      </w:tr>
      <w:tr w14:paraId="482D78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458" w:type="pct"/>
            <w:noWrap w:val="0"/>
            <w:vAlign w:val="center"/>
          </w:tcPr>
          <w:p w14:paraId="2EFEEF8F">
            <w:pPr>
              <w:spacing w:line="360" w:lineRule="auto"/>
              <w:jc w:val="center"/>
              <w:rPr>
                <w:rFonts w:hAnsi="宋体" w:cs="宋体"/>
                <w:szCs w:val="24"/>
                <w:highlight w:val="none"/>
              </w:rPr>
            </w:pPr>
            <w:r>
              <w:rPr>
                <w:rFonts w:hint="eastAsia" w:hAnsi="宋体" w:cs="宋体"/>
                <w:szCs w:val="24"/>
                <w:highlight w:val="none"/>
              </w:rPr>
              <w:t>1</w:t>
            </w:r>
          </w:p>
        </w:tc>
        <w:tc>
          <w:tcPr>
            <w:tcW w:w="4541" w:type="pct"/>
            <w:noWrap w:val="0"/>
            <w:vAlign w:val="center"/>
          </w:tcPr>
          <w:p w14:paraId="1F575CBB">
            <w:pPr>
              <w:spacing w:line="360" w:lineRule="auto"/>
              <w:rPr>
                <w:rFonts w:hint="default" w:hAnsi="宋体" w:eastAsia="宋体" w:cs="宋体"/>
                <w:b/>
                <w:szCs w:val="24"/>
                <w:highlight w:val="none"/>
                <w:lang w:val="en-US" w:eastAsia="zh-CN"/>
              </w:rPr>
            </w:pPr>
            <w:r>
              <w:rPr>
                <w:rFonts w:hint="eastAsia" w:hAnsi="宋体" w:cs="宋体"/>
                <w:b/>
                <w:szCs w:val="24"/>
                <w:highlight w:val="none"/>
              </w:rPr>
              <w:t>采购人名称</w:t>
            </w:r>
            <w:r>
              <w:rPr>
                <w:rFonts w:hint="eastAsia" w:hAnsi="宋体" w:cs="宋体"/>
                <w:szCs w:val="24"/>
                <w:highlight w:val="none"/>
              </w:rPr>
              <w:t>：陕西省残疾人辅助技术中心</w:t>
            </w:r>
          </w:p>
          <w:p w14:paraId="32160B97">
            <w:pPr>
              <w:spacing w:line="360" w:lineRule="auto"/>
              <w:rPr>
                <w:rFonts w:hint="default" w:hAnsi="宋体" w:eastAsia="宋体" w:cs="宋体"/>
                <w:szCs w:val="24"/>
                <w:highlight w:val="none"/>
                <w:lang w:val="en-US" w:eastAsia="zh-CN"/>
              </w:rPr>
            </w:pPr>
            <w:r>
              <w:rPr>
                <w:rFonts w:hint="eastAsia" w:hAnsi="宋体" w:cs="宋体"/>
                <w:b/>
                <w:szCs w:val="24"/>
                <w:highlight w:val="none"/>
              </w:rPr>
              <w:t>项目名称</w:t>
            </w:r>
            <w:r>
              <w:rPr>
                <w:rFonts w:hint="eastAsia" w:hAnsi="宋体" w:cs="宋体"/>
                <w:szCs w:val="24"/>
                <w:highlight w:val="none"/>
              </w:rPr>
              <w:t>：残疾人假肢矫形器装配（</w:t>
            </w:r>
            <w:r>
              <w:rPr>
                <w:rFonts w:hint="eastAsia" w:hAnsi="宋体" w:cs="宋体"/>
                <w:szCs w:val="24"/>
                <w:highlight w:val="none"/>
                <w:lang w:val="en-US" w:eastAsia="zh-CN"/>
              </w:rPr>
              <w:t>假肢</w:t>
            </w:r>
            <w:r>
              <w:rPr>
                <w:rFonts w:hint="eastAsia" w:hAnsi="宋体" w:cs="宋体"/>
                <w:szCs w:val="24"/>
                <w:highlight w:val="none"/>
              </w:rPr>
              <w:t>装配</w:t>
            </w:r>
            <w:r>
              <w:rPr>
                <w:rFonts w:hint="eastAsia" w:hAnsi="宋体" w:cs="宋体"/>
                <w:szCs w:val="24"/>
                <w:highlight w:val="none"/>
                <w:lang w:val="en-US" w:eastAsia="zh-CN"/>
              </w:rPr>
              <w:t>服务</w:t>
            </w:r>
            <w:r>
              <w:rPr>
                <w:rFonts w:hint="eastAsia" w:hAnsi="宋体" w:cs="宋体"/>
                <w:szCs w:val="24"/>
                <w:highlight w:val="none"/>
              </w:rPr>
              <w:t>）项目</w:t>
            </w:r>
            <w:r>
              <w:rPr>
                <w:rFonts w:hint="eastAsia" w:hAnsi="宋体" w:cs="宋体"/>
                <w:szCs w:val="24"/>
                <w:highlight w:val="none"/>
                <w:lang w:val="en-US" w:eastAsia="zh-CN"/>
              </w:rPr>
              <w:t xml:space="preserve">  </w:t>
            </w:r>
          </w:p>
          <w:p w14:paraId="7E7589E2">
            <w:pPr>
              <w:spacing w:line="360" w:lineRule="auto"/>
              <w:rPr>
                <w:rFonts w:hAnsi="宋体" w:cs="宋体"/>
                <w:szCs w:val="24"/>
                <w:highlight w:val="none"/>
              </w:rPr>
            </w:pPr>
            <w:r>
              <w:rPr>
                <w:rFonts w:hint="eastAsia" w:hAnsi="宋体" w:cs="宋体"/>
                <w:b/>
                <w:szCs w:val="24"/>
                <w:highlight w:val="none"/>
              </w:rPr>
              <w:t>资金来源：</w:t>
            </w:r>
            <w:r>
              <w:rPr>
                <w:rFonts w:hint="eastAsia" w:hAnsi="宋体" w:cs="宋体"/>
                <w:szCs w:val="24"/>
                <w:highlight w:val="none"/>
              </w:rPr>
              <w:t>财政拨款</w:t>
            </w:r>
          </w:p>
        </w:tc>
      </w:tr>
      <w:tr w14:paraId="7BBE86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trPr>
        <w:tc>
          <w:tcPr>
            <w:tcW w:w="458" w:type="pct"/>
            <w:noWrap w:val="0"/>
            <w:vAlign w:val="center"/>
          </w:tcPr>
          <w:p w14:paraId="63158575">
            <w:pPr>
              <w:spacing w:line="360" w:lineRule="auto"/>
              <w:jc w:val="center"/>
              <w:rPr>
                <w:rFonts w:hAnsi="宋体" w:cs="宋体"/>
                <w:szCs w:val="24"/>
                <w:highlight w:val="none"/>
              </w:rPr>
            </w:pPr>
            <w:r>
              <w:rPr>
                <w:rFonts w:hint="eastAsia" w:hAnsi="宋体" w:cs="宋体"/>
                <w:szCs w:val="24"/>
                <w:highlight w:val="none"/>
              </w:rPr>
              <w:t>2</w:t>
            </w:r>
          </w:p>
        </w:tc>
        <w:tc>
          <w:tcPr>
            <w:tcW w:w="4541" w:type="pct"/>
            <w:noWrap w:val="0"/>
            <w:vAlign w:val="center"/>
          </w:tcPr>
          <w:p w14:paraId="7EDEC5E2">
            <w:pPr>
              <w:spacing w:line="360" w:lineRule="auto"/>
              <w:rPr>
                <w:rFonts w:hAnsi="宋体" w:cs="宋体"/>
                <w:szCs w:val="24"/>
                <w:highlight w:val="none"/>
              </w:rPr>
            </w:pPr>
            <w:r>
              <w:rPr>
                <w:rFonts w:hint="eastAsia" w:hAnsi="宋体" w:cs="宋体"/>
                <w:b/>
                <w:szCs w:val="24"/>
                <w:highlight w:val="none"/>
              </w:rPr>
              <w:t>名词解释：</w:t>
            </w:r>
            <w:r>
              <w:rPr>
                <w:rFonts w:hint="eastAsia" w:hAnsi="宋体" w:cs="宋体"/>
                <w:szCs w:val="24"/>
                <w:highlight w:val="none"/>
              </w:rPr>
              <w:t>本章节中出现的 “投标人”，在招标投标阶段措辞为“投标人”；在项目招标结束，中标结果确定后，措辞由“投标人”转为“中标人”；在采购人与中标人签订合同，履约、实施阶段，措辞由“中标人”转为“投标人”。</w:t>
            </w:r>
          </w:p>
        </w:tc>
      </w:tr>
      <w:tr w14:paraId="6C3479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trPr>
        <w:tc>
          <w:tcPr>
            <w:tcW w:w="458" w:type="pct"/>
            <w:noWrap w:val="0"/>
            <w:vAlign w:val="center"/>
          </w:tcPr>
          <w:p w14:paraId="1FC3AA9B">
            <w:pPr>
              <w:spacing w:line="360" w:lineRule="auto"/>
              <w:jc w:val="center"/>
              <w:rPr>
                <w:rFonts w:hAnsi="宋体" w:cs="宋体"/>
                <w:szCs w:val="24"/>
                <w:highlight w:val="none"/>
              </w:rPr>
            </w:pPr>
            <w:r>
              <w:rPr>
                <w:rFonts w:hint="eastAsia" w:hAnsi="宋体" w:cs="宋体"/>
                <w:szCs w:val="24"/>
                <w:highlight w:val="none"/>
              </w:rPr>
              <w:t>3</w:t>
            </w:r>
          </w:p>
        </w:tc>
        <w:tc>
          <w:tcPr>
            <w:tcW w:w="4541" w:type="pct"/>
            <w:noWrap w:val="0"/>
            <w:vAlign w:val="center"/>
          </w:tcPr>
          <w:p w14:paraId="53E7359F">
            <w:pPr>
              <w:spacing w:line="360" w:lineRule="auto"/>
              <w:rPr>
                <w:rFonts w:hAnsi="宋体" w:cs="宋体"/>
                <w:b/>
                <w:szCs w:val="24"/>
                <w:highlight w:val="none"/>
              </w:rPr>
            </w:pPr>
            <w:r>
              <w:rPr>
                <w:rFonts w:hint="eastAsia" w:hAnsi="宋体" w:cs="宋体"/>
                <w:b/>
                <w:szCs w:val="24"/>
                <w:highlight w:val="none"/>
              </w:rPr>
              <w:t>服务地点：采购人指定地点。</w:t>
            </w:r>
          </w:p>
        </w:tc>
      </w:tr>
      <w:tr w14:paraId="20B06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trPr>
        <w:tc>
          <w:tcPr>
            <w:tcW w:w="458" w:type="pct"/>
            <w:noWrap w:val="0"/>
            <w:vAlign w:val="center"/>
          </w:tcPr>
          <w:p w14:paraId="6E8A6598">
            <w:pPr>
              <w:spacing w:line="360" w:lineRule="auto"/>
              <w:jc w:val="center"/>
              <w:rPr>
                <w:rFonts w:hAnsi="宋体" w:cs="宋体"/>
                <w:szCs w:val="24"/>
                <w:highlight w:val="none"/>
              </w:rPr>
            </w:pPr>
            <w:r>
              <w:rPr>
                <w:rFonts w:hint="eastAsia" w:hAnsi="宋体" w:cs="宋体"/>
                <w:szCs w:val="24"/>
                <w:highlight w:val="none"/>
              </w:rPr>
              <w:t>4</w:t>
            </w:r>
          </w:p>
        </w:tc>
        <w:tc>
          <w:tcPr>
            <w:tcW w:w="4541" w:type="pct"/>
            <w:noWrap w:val="0"/>
            <w:vAlign w:val="center"/>
          </w:tcPr>
          <w:p w14:paraId="5E176471">
            <w:pPr>
              <w:pStyle w:val="2"/>
              <w:spacing w:before="1"/>
              <w:ind w:right="-58"/>
              <w:rPr>
                <w:rFonts w:hAnsi="宋体" w:cs="宋体"/>
                <w:b/>
                <w:szCs w:val="24"/>
                <w:highlight w:val="none"/>
              </w:rPr>
            </w:pPr>
            <w:r>
              <w:rPr>
                <w:rFonts w:hint="eastAsia" w:ascii="宋体" w:hAnsi="宋体" w:eastAsia="宋体" w:cs="宋体"/>
                <w:b/>
                <w:kern w:val="0"/>
                <w:sz w:val="24"/>
                <w:szCs w:val="24"/>
                <w:highlight w:val="none"/>
                <w:lang w:val="en-US" w:eastAsia="zh-CN" w:bidi="ar-SA"/>
              </w:rPr>
              <w:t>合同履行期限： 合同签订之日起至2025年12月31日</w:t>
            </w:r>
          </w:p>
        </w:tc>
      </w:tr>
      <w:tr w14:paraId="29C510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trPr>
        <w:tc>
          <w:tcPr>
            <w:tcW w:w="458" w:type="pct"/>
            <w:noWrap w:val="0"/>
            <w:vAlign w:val="center"/>
          </w:tcPr>
          <w:p w14:paraId="663C0E88">
            <w:pPr>
              <w:spacing w:line="360" w:lineRule="auto"/>
              <w:jc w:val="center"/>
              <w:rPr>
                <w:rFonts w:hint="eastAsia" w:hAnsi="宋体" w:cs="宋体"/>
                <w:szCs w:val="24"/>
                <w:highlight w:val="none"/>
              </w:rPr>
            </w:pPr>
            <w:r>
              <w:rPr>
                <w:rFonts w:hint="eastAsia" w:hAnsi="宋体" w:cs="宋体"/>
                <w:szCs w:val="24"/>
                <w:highlight w:val="none"/>
              </w:rPr>
              <w:t>5</w:t>
            </w:r>
          </w:p>
        </w:tc>
        <w:tc>
          <w:tcPr>
            <w:tcW w:w="4541" w:type="pct"/>
            <w:noWrap w:val="0"/>
            <w:vAlign w:val="center"/>
          </w:tcPr>
          <w:p w14:paraId="0B27A8C2">
            <w:pPr>
              <w:spacing w:line="360" w:lineRule="auto"/>
              <w:rPr>
                <w:rFonts w:hAnsi="宋体" w:cs="宋体"/>
                <w:b/>
                <w:szCs w:val="24"/>
                <w:highlight w:val="none"/>
              </w:rPr>
            </w:pPr>
            <w:r>
              <w:rPr>
                <w:rFonts w:hint="eastAsia" w:hAnsi="宋体" w:cs="宋体"/>
                <w:b/>
                <w:szCs w:val="24"/>
                <w:highlight w:val="none"/>
              </w:rPr>
              <w:t>付款：</w:t>
            </w:r>
          </w:p>
          <w:p w14:paraId="63202EA3">
            <w:pPr>
              <w:spacing w:line="360" w:lineRule="auto"/>
              <w:rPr>
                <w:rFonts w:hAnsi="宋体" w:cs="宋体"/>
                <w:bCs/>
                <w:szCs w:val="24"/>
                <w:highlight w:val="none"/>
              </w:rPr>
            </w:pPr>
            <w:r>
              <w:rPr>
                <w:rFonts w:hint="eastAsia" w:hAnsi="宋体" w:cs="宋体"/>
                <w:bCs/>
                <w:szCs w:val="24"/>
                <w:highlight w:val="none"/>
              </w:rPr>
              <w:t>1.合同总价即中标价 。</w:t>
            </w:r>
          </w:p>
          <w:p w14:paraId="663BEF18">
            <w:pPr>
              <w:spacing w:line="360" w:lineRule="auto"/>
              <w:rPr>
                <w:rFonts w:hAnsi="宋体" w:cs="宋体"/>
                <w:bCs/>
                <w:szCs w:val="24"/>
                <w:highlight w:val="none"/>
              </w:rPr>
            </w:pPr>
            <w:r>
              <w:rPr>
                <w:rFonts w:hint="eastAsia" w:hAnsi="宋体" w:cs="宋体"/>
                <w:bCs/>
                <w:szCs w:val="24"/>
                <w:highlight w:val="none"/>
              </w:rPr>
              <w:t>2.付款方式和程序：</w:t>
            </w:r>
          </w:p>
          <w:p w14:paraId="1A63E8E9">
            <w:pPr>
              <w:spacing w:line="360" w:lineRule="auto"/>
              <w:ind w:firstLine="480" w:firstLineChars="200"/>
              <w:rPr>
                <w:rFonts w:hAnsi="宋体" w:cs="宋体"/>
                <w:bCs/>
                <w:szCs w:val="24"/>
                <w:highlight w:val="none"/>
              </w:rPr>
            </w:pPr>
            <w:r>
              <w:rPr>
                <w:rFonts w:hint="eastAsia" w:hAnsi="宋体" w:cs="宋体"/>
                <w:bCs/>
                <w:szCs w:val="24"/>
                <w:highlight w:val="none"/>
              </w:rPr>
              <w:t>2.1由采购人负责结算，在付款前，投标人必须开具审价后价款的全额发票给采购人 。</w:t>
            </w:r>
          </w:p>
          <w:p w14:paraId="0C671D10">
            <w:pPr>
              <w:spacing w:line="360" w:lineRule="auto"/>
              <w:ind w:firstLine="482" w:firstLineChars="200"/>
              <w:rPr>
                <w:rFonts w:hAnsi="宋体" w:cs="宋体"/>
                <w:bCs/>
                <w:szCs w:val="24"/>
                <w:highlight w:val="none"/>
              </w:rPr>
            </w:pPr>
            <w:r>
              <w:rPr>
                <w:rFonts w:hint="eastAsia" w:hAnsi="宋体" w:cs="宋体"/>
                <w:b/>
                <w:szCs w:val="24"/>
                <w:highlight w:val="none"/>
              </w:rPr>
              <w:t>2.2付款方式：</w:t>
            </w:r>
          </w:p>
          <w:p w14:paraId="75CA85D1">
            <w:pPr>
              <w:spacing w:line="360" w:lineRule="auto"/>
              <w:ind w:firstLine="480" w:firstLineChars="200"/>
              <w:rPr>
                <w:rFonts w:hint="eastAsia" w:hAnsi="宋体" w:eastAsia="宋体" w:cs="宋体"/>
                <w:b w:val="0"/>
                <w:bCs/>
                <w:szCs w:val="24"/>
                <w:highlight w:val="none"/>
                <w:lang w:eastAsia="zh-CN"/>
              </w:rPr>
            </w:pPr>
            <w:r>
              <w:rPr>
                <w:rFonts w:hint="eastAsia" w:hAnsi="宋体" w:cs="宋体"/>
                <w:b w:val="0"/>
                <w:bCs/>
                <w:szCs w:val="24"/>
                <w:highlight w:val="none"/>
              </w:rPr>
              <w:t>合同签订后，达到付款条件起10日内，支付合同总金额的40.00%</w:t>
            </w:r>
            <w:r>
              <w:rPr>
                <w:rFonts w:hint="eastAsia" w:hAnsi="宋体" w:cs="宋体"/>
                <w:b w:val="0"/>
                <w:bCs/>
                <w:szCs w:val="24"/>
                <w:highlight w:val="none"/>
                <w:lang w:eastAsia="zh-CN"/>
              </w:rPr>
              <w:t>；</w:t>
            </w:r>
            <w:r>
              <w:rPr>
                <w:rFonts w:hint="eastAsia" w:hAnsi="宋体" w:cs="宋体"/>
                <w:b w:val="0"/>
                <w:bCs/>
                <w:szCs w:val="24"/>
                <w:highlight w:val="none"/>
              </w:rPr>
              <w:t>项目执行到50%以上经验收合格，达到付款条件起10日内，支付合同总金额的55.00%</w:t>
            </w:r>
            <w:r>
              <w:rPr>
                <w:rFonts w:hint="eastAsia" w:hAnsi="宋体" w:cs="宋体"/>
                <w:b w:val="0"/>
                <w:bCs/>
                <w:szCs w:val="24"/>
                <w:highlight w:val="none"/>
                <w:lang w:eastAsia="zh-CN"/>
              </w:rPr>
              <w:t>；</w:t>
            </w:r>
          </w:p>
          <w:p w14:paraId="2C6ABA58">
            <w:pPr>
              <w:spacing w:line="360" w:lineRule="auto"/>
              <w:rPr>
                <w:rFonts w:hint="eastAsia" w:hAnsi="宋体" w:cs="宋体"/>
                <w:b w:val="0"/>
                <w:bCs/>
                <w:szCs w:val="24"/>
                <w:highlight w:val="none"/>
              </w:rPr>
            </w:pPr>
            <w:r>
              <w:rPr>
                <w:rFonts w:hint="eastAsia" w:hAnsi="宋体" w:cs="宋体"/>
                <w:b w:val="0"/>
                <w:bCs/>
                <w:szCs w:val="24"/>
                <w:highlight w:val="none"/>
              </w:rPr>
              <w:t>服务期结束，达到付款条件起10日内，支付合同总金额的5.00%。</w:t>
            </w:r>
          </w:p>
          <w:p w14:paraId="10270A02">
            <w:pPr>
              <w:spacing w:line="360" w:lineRule="auto"/>
              <w:ind w:firstLine="482" w:firstLineChars="200"/>
              <w:rPr>
                <w:rFonts w:hAnsi="宋体" w:cs="宋体"/>
                <w:b/>
                <w:szCs w:val="24"/>
                <w:highlight w:val="none"/>
              </w:rPr>
            </w:pPr>
            <w:r>
              <w:rPr>
                <w:rFonts w:hint="eastAsia" w:hAnsi="宋体" w:cs="宋体"/>
                <w:b/>
                <w:szCs w:val="24"/>
                <w:highlight w:val="none"/>
              </w:rPr>
              <w:t>2.3支付方式：银行转账</w:t>
            </w:r>
          </w:p>
        </w:tc>
      </w:tr>
      <w:tr w14:paraId="7CA98E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458" w:type="pct"/>
            <w:noWrap w:val="0"/>
            <w:vAlign w:val="center"/>
          </w:tcPr>
          <w:p w14:paraId="29883A3B">
            <w:pPr>
              <w:spacing w:line="360" w:lineRule="auto"/>
              <w:jc w:val="center"/>
              <w:rPr>
                <w:rFonts w:hint="eastAsia" w:hAnsi="宋体" w:cs="宋体"/>
                <w:szCs w:val="24"/>
                <w:highlight w:val="none"/>
              </w:rPr>
            </w:pPr>
            <w:r>
              <w:rPr>
                <w:rFonts w:hint="eastAsia" w:hAnsi="宋体" w:cs="宋体"/>
                <w:szCs w:val="24"/>
                <w:highlight w:val="none"/>
              </w:rPr>
              <w:t>6</w:t>
            </w:r>
          </w:p>
        </w:tc>
        <w:tc>
          <w:tcPr>
            <w:tcW w:w="4541" w:type="pct"/>
            <w:noWrap w:val="0"/>
            <w:vAlign w:val="center"/>
          </w:tcPr>
          <w:p w14:paraId="2DBC870C">
            <w:pPr>
              <w:ind w:firstLine="480"/>
              <w:rPr>
                <w:rFonts w:hint="eastAsia" w:hAnsi="宋体" w:cs="宋体"/>
                <w:b/>
                <w:bCs/>
                <w:szCs w:val="24"/>
                <w:highlight w:val="none"/>
              </w:rPr>
            </w:pPr>
            <w:r>
              <w:rPr>
                <w:rFonts w:hint="eastAsia" w:hAnsi="宋体" w:cs="宋体"/>
                <w:b/>
                <w:bCs/>
                <w:szCs w:val="24"/>
                <w:highlight w:val="none"/>
              </w:rPr>
              <w:t>技术要求：</w:t>
            </w:r>
          </w:p>
          <w:p w14:paraId="45776693">
            <w:pPr>
              <w:spacing w:line="360" w:lineRule="auto"/>
              <w:ind w:firstLine="480"/>
              <w:rPr>
                <w:rFonts w:hAnsi="宋体" w:cs="宋体"/>
                <w:szCs w:val="24"/>
                <w:highlight w:val="none"/>
              </w:rPr>
            </w:pPr>
            <w:r>
              <w:rPr>
                <w:rFonts w:hint="eastAsia" w:hAnsi="宋体" w:cs="宋体"/>
                <w:highlight w:val="none"/>
              </w:rPr>
              <w:t>详见</w:t>
            </w:r>
            <w:bookmarkStart w:id="54" w:name="_GoBack"/>
            <w:bookmarkEnd w:id="54"/>
            <w:r>
              <w:rPr>
                <w:rFonts w:hint="eastAsia" w:hAnsi="宋体" w:cs="宋体"/>
                <w:highlight w:val="none"/>
              </w:rPr>
              <w:t>采购内容及技术要求。</w:t>
            </w:r>
          </w:p>
        </w:tc>
      </w:tr>
      <w:tr w14:paraId="750E7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036" w:hRule="atLeast"/>
        </w:trPr>
        <w:tc>
          <w:tcPr>
            <w:tcW w:w="458" w:type="pct"/>
            <w:noWrap w:val="0"/>
            <w:vAlign w:val="center"/>
          </w:tcPr>
          <w:p w14:paraId="4AA89514">
            <w:pPr>
              <w:pStyle w:val="5"/>
              <w:spacing w:line="360" w:lineRule="auto"/>
              <w:jc w:val="center"/>
              <w:rPr>
                <w:rFonts w:hint="eastAsia" w:hAnsi="宋体" w:cs="宋体"/>
                <w:b/>
                <w:bCs/>
                <w:kern w:val="0"/>
                <w:sz w:val="24"/>
                <w:szCs w:val="24"/>
                <w:highlight w:val="none"/>
              </w:rPr>
            </w:pPr>
            <w:r>
              <w:rPr>
                <w:rFonts w:hint="eastAsia" w:hAnsi="宋体" w:cs="宋体"/>
                <w:kern w:val="0"/>
                <w:sz w:val="24"/>
                <w:szCs w:val="24"/>
                <w:highlight w:val="none"/>
              </w:rPr>
              <w:t>7</w:t>
            </w:r>
          </w:p>
        </w:tc>
        <w:tc>
          <w:tcPr>
            <w:tcW w:w="4541" w:type="pct"/>
            <w:noWrap w:val="0"/>
            <w:vAlign w:val="center"/>
          </w:tcPr>
          <w:p w14:paraId="45A221EC">
            <w:pPr>
              <w:spacing w:line="360" w:lineRule="auto"/>
              <w:rPr>
                <w:rFonts w:hAnsi="宋体" w:cs="宋体"/>
                <w:b/>
                <w:szCs w:val="24"/>
                <w:highlight w:val="none"/>
              </w:rPr>
            </w:pPr>
            <w:r>
              <w:rPr>
                <w:rFonts w:hint="eastAsia" w:hAnsi="宋体" w:cs="宋体"/>
                <w:b/>
                <w:szCs w:val="24"/>
                <w:highlight w:val="none"/>
              </w:rPr>
              <w:t>验收：</w:t>
            </w:r>
          </w:p>
          <w:p w14:paraId="6C750AE7">
            <w:pPr>
              <w:spacing w:line="360" w:lineRule="auto"/>
              <w:ind w:firstLine="480" w:firstLineChars="200"/>
              <w:rPr>
                <w:rFonts w:hint="eastAsia" w:hAnsi="宋体" w:cs="宋体"/>
                <w:szCs w:val="24"/>
                <w:highlight w:val="none"/>
              </w:rPr>
            </w:pPr>
            <w:r>
              <w:rPr>
                <w:rFonts w:hint="eastAsia" w:hAnsi="宋体" w:cs="宋体"/>
                <w:szCs w:val="24"/>
                <w:highlight w:val="none"/>
              </w:rPr>
              <w:t>（1）服务期满后按照成交供应商所提供的资料及数据进行验收；</w:t>
            </w:r>
          </w:p>
          <w:p w14:paraId="256A63CD">
            <w:pPr>
              <w:spacing w:line="360" w:lineRule="auto"/>
              <w:ind w:firstLine="480" w:firstLineChars="200"/>
              <w:rPr>
                <w:rFonts w:hint="eastAsia" w:hAnsi="宋体" w:cs="宋体"/>
                <w:szCs w:val="24"/>
                <w:highlight w:val="none"/>
              </w:rPr>
            </w:pPr>
            <w:r>
              <w:rPr>
                <w:rFonts w:hint="eastAsia" w:hAnsi="宋体" w:cs="宋体"/>
                <w:szCs w:val="24"/>
                <w:highlight w:val="none"/>
              </w:rPr>
              <w:t>（2）最终验收：自合同签订之日起至完成全部项目内容，需按照采购人确定的时间完成交付并验收合格，验收合格后，填写验收单。</w:t>
            </w:r>
          </w:p>
          <w:p w14:paraId="3FBD1E36">
            <w:pPr>
              <w:spacing w:line="360" w:lineRule="auto"/>
              <w:ind w:firstLine="480" w:firstLineChars="200"/>
              <w:rPr>
                <w:rFonts w:hint="eastAsia" w:hAnsi="宋体" w:cs="宋体"/>
                <w:szCs w:val="24"/>
                <w:highlight w:val="none"/>
              </w:rPr>
            </w:pPr>
            <w:r>
              <w:rPr>
                <w:rFonts w:hint="eastAsia" w:hAnsi="宋体" w:cs="宋体"/>
                <w:szCs w:val="24"/>
                <w:highlight w:val="none"/>
              </w:rPr>
              <w:t>（3）验收和评价方式：</w:t>
            </w:r>
          </w:p>
          <w:p w14:paraId="751162D2">
            <w:pPr>
              <w:spacing w:line="360" w:lineRule="auto"/>
              <w:ind w:firstLine="480" w:firstLineChars="200"/>
              <w:rPr>
                <w:rFonts w:hint="eastAsia" w:hAnsi="宋体" w:cs="宋体"/>
                <w:szCs w:val="24"/>
                <w:highlight w:val="none"/>
              </w:rPr>
            </w:pPr>
            <w:r>
              <w:rPr>
                <w:rFonts w:hint="eastAsia" w:hAnsi="宋体" w:cs="宋体"/>
                <w:szCs w:val="24"/>
                <w:highlight w:val="none"/>
              </w:rPr>
              <w:t>1、服务期满后按照成交供应商所提供的资料及数据进行验收；</w:t>
            </w:r>
          </w:p>
          <w:p w14:paraId="482FEA14">
            <w:pPr>
              <w:spacing w:line="360" w:lineRule="auto"/>
              <w:ind w:firstLine="480" w:firstLineChars="200"/>
              <w:rPr>
                <w:rFonts w:hint="eastAsia" w:hAnsi="宋体" w:cs="宋体"/>
                <w:szCs w:val="24"/>
                <w:highlight w:val="none"/>
              </w:rPr>
            </w:pPr>
            <w:r>
              <w:rPr>
                <w:rFonts w:hint="eastAsia" w:hAnsi="宋体" w:cs="宋体"/>
                <w:szCs w:val="24"/>
                <w:highlight w:val="none"/>
              </w:rPr>
              <w:t>2、最终验收：自合同签订之日起至完成全部项目内容，需按照采购人确定的时间完成交付并验收合格，验收合格后，填写验收单。</w:t>
            </w:r>
          </w:p>
          <w:p w14:paraId="2091E300">
            <w:pPr>
              <w:spacing w:line="360" w:lineRule="auto"/>
              <w:ind w:firstLine="480" w:firstLineChars="200"/>
              <w:rPr>
                <w:rFonts w:hint="eastAsia" w:hAnsi="宋体" w:cs="宋体"/>
                <w:szCs w:val="24"/>
                <w:highlight w:val="none"/>
              </w:rPr>
            </w:pPr>
            <w:r>
              <w:rPr>
                <w:rFonts w:hint="eastAsia" w:hAnsi="宋体" w:cs="宋体"/>
                <w:szCs w:val="24"/>
                <w:highlight w:val="none"/>
              </w:rPr>
              <w:t>3、验收和评价方式</w:t>
            </w:r>
          </w:p>
          <w:p w14:paraId="7F67FDF2">
            <w:pPr>
              <w:spacing w:line="360" w:lineRule="auto"/>
              <w:ind w:firstLine="480" w:firstLineChars="200"/>
              <w:rPr>
                <w:rFonts w:hint="eastAsia" w:hAnsi="宋体" w:cs="宋体"/>
                <w:szCs w:val="24"/>
                <w:highlight w:val="none"/>
              </w:rPr>
            </w:pPr>
            <w:r>
              <w:rPr>
                <w:rFonts w:hint="eastAsia" w:hAnsi="宋体" w:cs="宋体"/>
                <w:szCs w:val="24"/>
                <w:highlight w:val="none"/>
              </w:rPr>
              <w:t>3.1  乙方提供的服务最终验收达不到</w:t>
            </w:r>
            <w:r>
              <w:rPr>
                <w:rFonts w:hint="eastAsia" w:hAnsi="宋体" w:cs="宋体"/>
                <w:szCs w:val="24"/>
                <w:highlight w:val="none"/>
                <w:lang w:eastAsia="zh-CN"/>
              </w:rPr>
              <w:t>招标文件</w:t>
            </w:r>
            <w:r>
              <w:rPr>
                <w:rFonts w:hint="eastAsia" w:hAnsi="宋体" w:cs="宋体"/>
                <w:szCs w:val="24"/>
                <w:highlight w:val="none"/>
              </w:rPr>
              <w:t>要求和</w:t>
            </w:r>
            <w:r>
              <w:rPr>
                <w:rFonts w:hint="eastAsia" w:hAnsi="宋体" w:cs="宋体"/>
                <w:szCs w:val="24"/>
                <w:highlight w:val="none"/>
                <w:lang w:eastAsia="zh-CN"/>
              </w:rPr>
              <w:t>投标文件</w:t>
            </w:r>
            <w:r>
              <w:rPr>
                <w:rFonts w:hint="eastAsia" w:hAnsi="宋体" w:cs="宋体"/>
                <w:szCs w:val="24"/>
                <w:highlight w:val="none"/>
              </w:rPr>
              <w:t>承诺及国家或行业标准，或在使用中发现甲方不能容忍的缺陷等，将视为验收不合格，乙方应在甲方要求的时间内无条件完善或要求赔付采购人损失。</w:t>
            </w:r>
          </w:p>
          <w:p w14:paraId="6887DF38">
            <w:pPr>
              <w:spacing w:line="360" w:lineRule="auto"/>
              <w:ind w:firstLine="480" w:firstLineChars="200"/>
              <w:rPr>
                <w:rFonts w:hint="eastAsia" w:hAnsi="宋体" w:cs="宋体"/>
                <w:szCs w:val="24"/>
                <w:highlight w:val="none"/>
              </w:rPr>
            </w:pPr>
            <w:r>
              <w:rPr>
                <w:rFonts w:hint="eastAsia" w:hAnsi="宋体" w:cs="宋体"/>
                <w:szCs w:val="24"/>
                <w:highlight w:val="none"/>
              </w:rPr>
              <w:t>3.2  若发现乙方有弄虚作假的，及在项目实施阶段故意或随意夸大服务，本项目合同解除，乙方赔偿甲方相应的损失。</w:t>
            </w:r>
          </w:p>
          <w:p w14:paraId="5C5AC998">
            <w:pPr>
              <w:spacing w:line="360" w:lineRule="auto"/>
              <w:ind w:firstLine="480" w:firstLineChars="200"/>
              <w:rPr>
                <w:rFonts w:hint="eastAsia" w:hAnsi="宋体" w:cs="宋体"/>
                <w:szCs w:val="24"/>
                <w:highlight w:val="none"/>
              </w:rPr>
            </w:pPr>
            <w:r>
              <w:rPr>
                <w:rFonts w:hint="eastAsia" w:hAnsi="宋体" w:cs="宋体"/>
                <w:szCs w:val="24"/>
                <w:highlight w:val="none"/>
              </w:rPr>
              <w:t>3.3  验收标准：按</w:t>
            </w:r>
            <w:r>
              <w:rPr>
                <w:rFonts w:hint="eastAsia" w:hAnsi="宋体" w:cs="宋体"/>
                <w:szCs w:val="24"/>
                <w:highlight w:val="none"/>
                <w:lang w:val="en-US" w:eastAsia="zh-CN"/>
              </w:rPr>
              <w:t>招标</w:t>
            </w:r>
            <w:r>
              <w:rPr>
                <w:rFonts w:hint="eastAsia" w:hAnsi="宋体" w:cs="宋体"/>
                <w:szCs w:val="24"/>
                <w:highlight w:val="none"/>
              </w:rPr>
              <w:t>文件、</w:t>
            </w:r>
            <w:r>
              <w:rPr>
                <w:rFonts w:hint="eastAsia" w:hAnsi="宋体" w:cs="宋体"/>
                <w:szCs w:val="24"/>
                <w:highlight w:val="none"/>
                <w:lang w:val="en-US" w:eastAsia="zh-CN"/>
              </w:rPr>
              <w:t>投标</w:t>
            </w:r>
            <w:r>
              <w:rPr>
                <w:rFonts w:hint="eastAsia" w:hAnsi="宋体" w:cs="宋体"/>
                <w:szCs w:val="24"/>
                <w:highlight w:val="none"/>
              </w:rPr>
              <w:t>文件等服务指标进行逐项验收，各项指标均应符合验收标准及要求。</w:t>
            </w:r>
          </w:p>
          <w:p w14:paraId="21473E70">
            <w:pPr>
              <w:spacing w:line="360" w:lineRule="auto"/>
              <w:ind w:firstLine="480" w:firstLineChars="200"/>
              <w:rPr>
                <w:rFonts w:hint="eastAsia" w:hAnsi="宋体" w:cs="宋体"/>
                <w:szCs w:val="24"/>
                <w:highlight w:val="none"/>
              </w:rPr>
            </w:pPr>
            <w:r>
              <w:rPr>
                <w:rFonts w:hint="eastAsia" w:hAnsi="宋体" w:cs="宋体"/>
                <w:szCs w:val="24"/>
                <w:highlight w:val="none"/>
              </w:rPr>
              <w:t>3.4  验收合格后，填写验收单，双方盖章、签字生效。</w:t>
            </w:r>
          </w:p>
          <w:p w14:paraId="5A2FFCC0">
            <w:pPr>
              <w:spacing w:line="360" w:lineRule="auto"/>
              <w:ind w:firstLine="480" w:firstLineChars="200"/>
              <w:rPr>
                <w:rFonts w:hint="eastAsia" w:hAnsi="宋体" w:cs="宋体"/>
                <w:szCs w:val="24"/>
                <w:highlight w:val="none"/>
              </w:rPr>
            </w:pPr>
            <w:r>
              <w:rPr>
                <w:rFonts w:hint="eastAsia" w:hAnsi="宋体" w:cs="宋体"/>
                <w:szCs w:val="24"/>
                <w:highlight w:val="none"/>
              </w:rPr>
              <w:t>3.5  验收依据</w:t>
            </w:r>
          </w:p>
          <w:p w14:paraId="12CF1D01">
            <w:pPr>
              <w:spacing w:line="360" w:lineRule="auto"/>
              <w:ind w:firstLine="480" w:firstLineChars="200"/>
              <w:rPr>
                <w:rFonts w:hint="eastAsia" w:hAnsi="宋体" w:cs="宋体"/>
                <w:szCs w:val="24"/>
                <w:highlight w:val="none"/>
              </w:rPr>
            </w:pPr>
            <w:r>
              <w:rPr>
                <w:rFonts w:hint="eastAsia" w:hAnsi="宋体" w:cs="宋体"/>
                <w:szCs w:val="24"/>
                <w:highlight w:val="none"/>
              </w:rPr>
              <w:t>3.5.1  合同文本。</w:t>
            </w:r>
          </w:p>
          <w:p w14:paraId="3C9F79F3">
            <w:pPr>
              <w:spacing w:line="360" w:lineRule="auto"/>
              <w:ind w:firstLine="480" w:firstLineChars="200"/>
              <w:rPr>
                <w:rFonts w:hint="eastAsia" w:hAnsi="宋体" w:cs="宋体"/>
                <w:szCs w:val="24"/>
                <w:highlight w:val="none"/>
              </w:rPr>
            </w:pPr>
            <w:r>
              <w:rPr>
                <w:rFonts w:hint="eastAsia" w:hAnsi="宋体" w:cs="宋体"/>
                <w:szCs w:val="24"/>
                <w:highlight w:val="none"/>
              </w:rPr>
              <w:t xml:space="preserve">3.5.2  </w:t>
            </w:r>
            <w:r>
              <w:rPr>
                <w:rFonts w:hint="eastAsia" w:hAnsi="宋体" w:cs="宋体"/>
                <w:szCs w:val="24"/>
                <w:highlight w:val="none"/>
                <w:lang w:val="en-US" w:eastAsia="zh-CN"/>
              </w:rPr>
              <w:t>招标文件</w:t>
            </w:r>
            <w:r>
              <w:rPr>
                <w:rFonts w:hint="eastAsia" w:hAnsi="宋体" w:cs="宋体"/>
                <w:szCs w:val="24"/>
                <w:highlight w:val="none"/>
              </w:rPr>
              <w:t>、</w:t>
            </w:r>
            <w:r>
              <w:rPr>
                <w:rFonts w:hint="eastAsia" w:hAnsi="宋体" w:cs="宋体"/>
                <w:szCs w:val="24"/>
                <w:highlight w:val="none"/>
                <w:lang w:val="en-US" w:eastAsia="zh-CN"/>
              </w:rPr>
              <w:t>投标</w:t>
            </w:r>
            <w:r>
              <w:rPr>
                <w:rFonts w:hint="eastAsia" w:hAnsi="宋体" w:cs="宋体"/>
                <w:szCs w:val="24"/>
                <w:highlight w:val="none"/>
              </w:rPr>
              <w:t>文件、澄清函。</w:t>
            </w:r>
          </w:p>
          <w:p w14:paraId="2A804699">
            <w:pPr>
              <w:spacing w:line="360" w:lineRule="auto"/>
              <w:ind w:firstLine="480" w:firstLineChars="200"/>
              <w:rPr>
                <w:rFonts w:hint="eastAsia" w:hAnsi="宋体" w:cs="宋体"/>
                <w:szCs w:val="24"/>
                <w:highlight w:val="none"/>
              </w:rPr>
            </w:pPr>
            <w:r>
              <w:rPr>
                <w:rFonts w:hint="eastAsia" w:hAnsi="宋体" w:cs="宋体"/>
                <w:szCs w:val="24"/>
                <w:highlight w:val="none"/>
              </w:rPr>
              <w:t>3.5.3  国家和行业制定的相应的标准和规范。</w:t>
            </w:r>
          </w:p>
          <w:p w14:paraId="1C9E94A2">
            <w:pPr>
              <w:spacing w:line="360" w:lineRule="auto"/>
              <w:ind w:firstLine="480" w:firstLineChars="200"/>
              <w:rPr>
                <w:rFonts w:hAnsi="宋体" w:cs="宋体"/>
                <w:szCs w:val="24"/>
                <w:highlight w:val="none"/>
              </w:rPr>
            </w:pPr>
            <w:r>
              <w:rPr>
                <w:rFonts w:hint="eastAsia" w:hAnsi="宋体" w:cs="宋体"/>
                <w:szCs w:val="24"/>
                <w:highlight w:val="none"/>
              </w:rPr>
              <w:t>5.成交服务商应向采购人提交项目实施过程中的所有资料，以便采购人日后管理和维护。</w:t>
            </w:r>
          </w:p>
        </w:tc>
      </w:tr>
      <w:tr w14:paraId="53B9E6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trPr>
        <w:tc>
          <w:tcPr>
            <w:tcW w:w="458" w:type="pct"/>
            <w:noWrap w:val="0"/>
            <w:vAlign w:val="center"/>
          </w:tcPr>
          <w:p w14:paraId="5C6A3DF5">
            <w:pPr>
              <w:pStyle w:val="5"/>
              <w:spacing w:line="360" w:lineRule="auto"/>
              <w:jc w:val="center"/>
              <w:rPr>
                <w:rFonts w:hint="eastAsia" w:hAnsi="宋体" w:cs="宋体"/>
                <w:b/>
                <w:bCs/>
                <w:kern w:val="0"/>
                <w:sz w:val="24"/>
                <w:szCs w:val="24"/>
                <w:highlight w:val="none"/>
              </w:rPr>
            </w:pPr>
            <w:r>
              <w:rPr>
                <w:rFonts w:hint="eastAsia" w:hAnsi="宋体" w:cs="宋体"/>
                <w:kern w:val="0"/>
                <w:sz w:val="24"/>
                <w:szCs w:val="24"/>
                <w:highlight w:val="none"/>
              </w:rPr>
              <w:t>8</w:t>
            </w:r>
          </w:p>
        </w:tc>
        <w:tc>
          <w:tcPr>
            <w:tcW w:w="4541" w:type="pct"/>
            <w:noWrap w:val="0"/>
            <w:vAlign w:val="center"/>
          </w:tcPr>
          <w:p w14:paraId="33F96FC4">
            <w:pPr>
              <w:rPr>
                <w:rFonts w:hAnsi="宋体" w:cs="宋体"/>
                <w:b/>
                <w:szCs w:val="24"/>
                <w:highlight w:val="none"/>
              </w:rPr>
            </w:pPr>
            <w:r>
              <w:rPr>
                <w:rFonts w:hint="eastAsia" w:hAnsi="宋体" w:cs="宋体"/>
                <w:b/>
                <w:szCs w:val="24"/>
                <w:highlight w:val="none"/>
              </w:rPr>
              <w:t>违约责任：</w:t>
            </w:r>
          </w:p>
          <w:p w14:paraId="350CBF6D">
            <w:pPr>
              <w:spacing w:line="360" w:lineRule="auto"/>
              <w:ind w:firstLine="480" w:firstLineChars="200"/>
              <w:rPr>
                <w:rFonts w:hint="eastAsia" w:hAnsi="宋体" w:cs="宋体"/>
                <w:szCs w:val="24"/>
                <w:highlight w:val="none"/>
              </w:rPr>
            </w:pPr>
            <w:r>
              <w:rPr>
                <w:rFonts w:hint="eastAsia" w:hAnsi="宋体" w:cs="宋体"/>
                <w:szCs w:val="24"/>
                <w:highlight w:val="none"/>
              </w:rPr>
              <w:t>1、按《民法典》中的相关条款执行。</w:t>
            </w:r>
          </w:p>
          <w:p w14:paraId="365A79EA">
            <w:pPr>
              <w:spacing w:line="360" w:lineRule="auto"/>
              <w:ind w:firstLine="480" w:firstLineChars="200"/>
              <w:rPr>
                <w:rFonts w:hAnsi="宋体" w:cs="宋体"/>
                <w:bCs/>
                <w:szCs w:val="24"/>
                <w:highlight w:val="none"/>
              </w:rPr>
            </w:pPr>
            <w:r>
              <w:rPr>
                <w:rFonts w:hint="eastAsia" w:hAnsi="宋体" w:cs="宋体"/>
                <w:szCs w:val="24"/>
                <w:highlight w:val="none"/>
              </w:rPr>
              <w:t>2、未按合同要求提供服务或服务不能满足合同要求，采购人应当将服务商违约的情况以及拟采取的措施以书面形式报政府采购监管部门，根据政府采购监管部门的处理意见，采购人有权依据《民法典》有关条款及合同约定终止合同，并要求投标人承担违约责任。同时，政府采购监管部门有权依据《政府采购法》及相关法律法规对投标人的违法行为进行相应的处罚。</w:t>
            </w:r>
          </w:p>
        </w:tc>
      </w:tr>
      <w:tr w14:paraId="321F6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 w:hRule="atLeast"/>
        </w:trPr>
        <w:tc>
          <w:tcPr>
            <w:tcW w:w="458" w:type="pct"/>
            <w:noWrap w:val="0"/>
            <w:vAlign w:val="center"/>
          </w:tcPr>
          <w:p w14:paraId="49855D43">
            <w:pPr>
              <w:pStyle w:val="5"/>
              <w:spacing w:line="360" w:lineRule="auto"/>
              <w:jc w:val="center"/>
              <w:rPr>
                <w:rFonts w:hAnsi="宋体" w:cs="宋体"/>
                <w:kern w:val="0"/>
                <w:sz w:val="24"/>
                <w:szCs w:val="24"/>
                <w:highlight w:val="none"/>
              </w:rPr>
            </w:pPr>
            <w:r>
              <w:rPr>
                <w:rFonts w:hint="eastAsia" w:hAnsi="宋体" w:cs="宋体"/>
                <w:kern w:val="0"/>
                <w:sz w:val="24"/>
                <w:szCs w:val="24"/>
                <w:highlight w:val="none"/>
              </w:rPr>
              <w:t>9</w:t>
            </w:r>
          </w:p>
        </w:tc>
        <w:tc>
          <w:tcPr>
            <w:tcW w:w="4541" w:type="pct"/>
            <w:noWrap w:val="0"/>
            <w:vAlign w:val="center"/>
          </w:tcPr>
          <w:p w14:paraId="3C0D8E5A">
            <w:pPr>
              <w:rPr>
                <w:rFonts w:hAnsi="宋体" w:cs="宋体"/>
                <w:b/>
                <w:szCs w:val="24"/>
                <w:highlight w:val="none"/>
              </w:rPr>
            </w:pPr>
            <w:r>
              <w:rPr>
                <w:rFonts w:hint="eastAsia" w:hAnsi="宋体" w:cs="宋体"/>
                <w:b/>
                <w:szCs w:val="24"/>
                <w:highlight w:val="none"/>
              </w:rPr>
              <w:t>政府采购合同：</w:t>
            </w:r>
          </w:p>
          <w:p w14:paraId="2EFDB6A5">
            <w:pPr>
              <w:spacing w:line="360" w:lineRule="auto"/>
              <w:ind w:firstLine="480" w:firstLineChars="200"/>
              <w:rPr>
                <w:rFonts w:hint="eastAsia" w:hAnsi="宋体" w:cs="宋体"/>
                <w:szCs w:val="24"/>
                <w:highlight w:val="none"/>
              </w:rPr>
            </w:pPr>
            <w:r>
              <w:rPr>
                <w:rFonts w:hint="eastAsia" w:hAnsi="宋体" w:cs="宋体"/>
                <w:szCs w:val="24"/>
                <w:highlight w:val="none"/>
              </w:rPr>
              <w:t>政府采购合同适用《民法典》合同编。采购人和投标人之间的权利和义务，应当按照平等、自愿的原则以合同方式约定。</w:t>
            </w:r>
          </w:p>
          <w:p w14:paraId="7C862C4A">
            <w:pPr>
              <w:spacing w:line="360" w:lineRule="auto"/>
              <w:ind w:firstLine="480" w:firstLineChars="200"/>
              <w:rPr>
                <w:rFonts w:hint="eastAsia" w:hAnsi="宋体" w:cs="宋体"/>
                <w:szCs w:val="24"/>
                <w:highlight w:val="none"/>
              </w:rPr>
            </w:pPr>
            <w:r>
              <w:rPr>
                <w:rFonts w:hint="eastAsia" w:hAnsi="宋体" w:cs="宋体"/>
                <w:szCs w:val="24"/>
                <w:highlight w:val="none"/>
              </w:rPr>
              <w:t>采购人可以委托采购代理机构代表其与投标人签订政府采购合同。由采购代理机构以采购人名义签订合同的，应当提交采购人的授权委托书，作为合同附件。</w:t>
            </w:r>
          </w:p>
          <w:p w14:paraId="0770E74B">
            <w:pPr>
              <w:spacing w:line="360" w:lineRule="auto"/>
              <w:ind w:firstLine="480" w:firstLineChars="200"/>
              <w:rPr>
                <w:rFonts w:hint="eastAsia" w:hAnsi="宋体" w:cs="宋体"/>
                <w:szCs w:val="24"/>
                <w:highlight w:val="none"/>
              </w:rPr>
            </w:pPr>
            <w:r>
              <w:rPr>
                <w:rFonts w:hint="eastAsia" w:hAnsi="宋体" w:cs="宋体"/>
                <w:szCs w:val="24"/>
                <w:highlight w:val="none"/>
              </w:rPr>
              <w:t>政府采购合同应当采用书面形式。</w:t>
            </w:r>
          </w:p>
          <w:p w14:paraId="3F31C817">
            <w:pPr>
              <w:spacing w:line="360" w:lineRule="auto"/>
              <w:ind w:firstLine="480" w:firstLineChars="200"/>
              <w:rPr>
                <w:rFonts w:hint="eastAsia" w:hAnsi="宋体" w:cs="宋体"/>
                <w:szCs w:val="24"/>
                <w:highlight w:val="none"/>
              </w:rPr>
            </w:pPr>
            <w:r>
              <w:rPr>
                <w:rFonts w:hint="eastAsia" w:hAnsi="宋体" w:cs="宋体"/>
                <w:szCs w:val="24"/>
                <w:highlight w:val="none"/>
              </w:rPr>
              <w:t>国务院政府采购监督管理部门应当会同国务院有关部门，规定政府采购合同必须具备的条款。</w:t>
            </w:r>
          </w:p>
          <w:p w14:paraId="028C0CF4">
            <w:pPr>
              <w:spacing w:line="360" w:lineRule="auto"/>
              <w:ind w:firstLine="480" w:firstLineChars="200"/>
              <w:rPr>
                <w:rFonts w:hint="eastAsia" w:hAnsi="宋体" w:cs="宋体"/>
                <w:szCs w:val="24"/>
                <w:highlight w:val="none"/>
              </w:rPr>
            </w:pPr>
            <w:r>
              <w:rPr>
                <w:rFonts w:hint="eastAsia" w:hAnsi="宋体" w:cs="宋体"/>
                <w:szCs w:val="24"/>
                <w:highlight w:val="none"/>
              </w:rPr>
              <w:t>采购人与中标、成交投标人应当在中标、成交通知书发出之日起三十日内，按照采购文件确定的事项签订政府采购合同。</w:t>
            </w:r>
          </w:p>
          <w:p w14:paraId="78C8E56D">
            <w:pPr>
              <w:spacing w:line="360" w:lineRule="auto"/>
              <w:ind w:firstLine="480" w:firstLineChars="200"/>
              <w:rPr>
                <w:rFonts w:hint="eastAsia" w:hAnsi="宋体" w:cs="宋体"/>
                <w:szCs w:val="24"/>
                <w:highlight w:val="none"/>
              </w:rPr>
            </w:pPr>
            <w:r>
              <w:rPr>
                <w:rFonts w:hint="eastAsia" w:hAnsi="宋体" w:cs="宋体"/>
                <w:szCs w:val="24"/>
                <w:highlight w:val="none"/>
              </w:rPr>
              <w:t>中标、成交通知书对采购人和中标、成交投标人均具有法律效力。中标、成交通知书发出后，采购人改变中标、成交结果的，或者中标、成交投标人放弃中标、成交项目的，应当依法承担法律责任。</w:t>
            </w:r>
          </w:p>
          <w:p w14:paraId="6C373598">
            <w:pPr>
              <w:spacing w:line="360" w:lineRule="auto"/>
              <w:ind w:firstLine="480" w:firstLineChars="200"/>
              <w:rPr>
                <w:rFonts w:hint="eastAsia" w:hAnsi="宋体" w:cs="宋体"/>
                <w:szCs w:val="24"/>
                <w:highlight w:val="none"/>
              </w:rPr>
            </w:pPr>
            <w:r>
              <w:rPr>
                <w:rFonts w:hint="eastAsia" w:hAnsi="宋体" w:cs="宋体"/>
                <w:szCs w:val="24"/>
                <w:highlight w:val="none"/>
              </w:rPr>
              <w:t>政府采购项目的采购合同自签订之日起七个工作日内，采购人应当将合同副本报同级政府采购监督管理部门和有关部门备案。</w:t>
            </w:r>
          </w:p>
          <w:p w14:paraId="595698E7">
            <w:pPr>
              <w:spacing w:line="360" w:lineRule="auto"/>
              <w:ind w:firstLine="480" w:firstLineChars="200"/>
              <w:rPr>
                <w:rFonts w:hint="eastAsia" w:hAnsi="宋体" w:cs="宋体"/>
                <w:szCs w:val="24"/>
                <w:highlight w:val="none"/>
              </w:rPr>
            </w:pPr>
            <w:r>
              <w:rPr>
                <w:rFonts w:hint="eastAsia" w:hAnsi="宋体" w:cs="宋体"/>
                <w:szCs w:val="24"/>
                <w:highlight w:val="none"/>
              </w:rPr>
              <w:t>经采购人同意，中标、成交投标人可以依法采取分包方式履行合同。政府采购合同分包履行的，中标、成交投标人就采购项目和分包项目向采购人负责，分包投标人就分包项目承担责任。</w:t>
            </w:r>
          </w:p>
          <w:p w14:paraId="3AFB2DC2">
            <w:pPr>
              <w:spacing w:line="360" w:lineRule="auto"/>
              <w:ind w:firstLine="480" w:firstLineChars="200"/>
              <w:rPr>
                <w:rFonts w:hint="eastAsia" w:hAnsi="宋体" w:cs="宋体"/>
                <w:szCs w:val="24"/>
                <w:highlight w:val="none"/>
              </w:rPr>
            </w:pPr>
            <w:r>
              <w:rPr>
                <w:rFonts w:hint="eastAsia" w:hAnsi="宋体" w:cs="宋体"/>
                <w:szCs w:val="24"/>
                <w:highlight w:val="none"/>
              </w:rPr>
              <w:t>政府采购合同履行中，采购人需追加与合同标的相同的货物、工程或者服务的，在不改变合同其他条款的前提下，可以与投标人协商签订补充合同，但所有补充合同的采购金额不得超过原合同采购金额的百分之十。</w:t>
            </w:r>
          </w:p>
          <w:p w14:paraId="5CFE74A8">
            <w:pPr>
              <w:spacing w:line="360" w:lineRule="auto"/>
              <w:ind w:firstLine="480" w:firstLineChars="200"/>
              <w:rPr>
                <w:rFonts w:hint="eastAsia" w:hAnsi="宋体" w:cs="宋体"/>
                <w:szCs w:val="24"/>
                <w:highlight w:val="none"/>
              </w:rPr>
            </w:pPr>
            <w:r>
              <w:rPr>
                <w:rFonts w:hint="eastAsia" w:hAnsi="宋体" w:cs="宋体"/>
                <w:szCs w:val="24"/>
                <w:highlight w:val="none"/>
              </w:rPr>
              <w:t>政府采购合同的双方当事人不得擅自变更、中止或者终止合同。</w:t>
            </w:r>
          </w:p>
          <w:p w14:paraId="6A021001">
            <w:pPr>
              <w:spacing w:line="360" w:lineRule="auto"/>
              <w:ind w:firstLine="480" w:firstLineChars="200"/>
              <w:rPr>
                <w:rFonts w:hAnsi="宋体" w:cs="宋体"/>
                <w:szCs w:val="24"/>
                <w:highlight w:val="none"/>
              </w:rPr>
            </w:pPr>
            <w:r>
              <w:rPr>
                <w:rFonts w:hint="eastAsia" w:hAnsi="宋体" w:cs="宋体"/>
                <w:szCs w:val="24"/>
                <w:highlight w:val="none"/>
              </w:rPr>
              <w:t>政府采购合同继续履行将损害国家利益和社会公共利益的，双方当事人应当变更、中止或者终止合同。有过错的一方应当承担赔偿责任，双方都有过错的，各自承担相应的责任。</w:t>
            </w:r>
          </w:p>
        </w:tc>
      </w:tr>
      <w:bookmarkEnd w:id="4"/>
      <w:bookmarkEnd w:id="5"/>
      <w:bookmarkEnd w:id="6"/>
      <w:bookmarkEnd w:id="7"/>
      <w:bookmarkEnd w:id="8"/>
    </w:tbl>
    <w:p w14:paraId="68452D21">
      <w:pPr>
        <w:rPr>
          <w:rFonts w:hAnsi="宋体" w:cs="宋体"/>
          <w:b/>
          <w:bCs/>
          <w:sz w:val="44"/>
          <w:szCs w:val="44"/>
          <w:highlight w:val="none"/>
        </w:rPr>
      </w:pPr>
      <w:r>
        <w:rPr>
          <w:rFonts w:hint="eastAsia" w:hAnsi="宋体" w:cs="宋体"/>
          <w:b/>
          <w:sz w:val="36"/>
          <w:szCs w:val="36"/>
          <w:highlight w:val="none"/>
        </w:rPr>
        <w:br w:type="page"/>
      </w:r>
    </w:p>
    <w:p w14:paraId="6581D39E">
      <w:pPr>
        <w:jc w:val="left"/>
        <w:rPr>
          <w:rFonts w:hAnsi="宋体" w:cs="宋体"/>
          <w:b/>
          <w:bCs/>
          <w:sz w:val="44"/>
          <w:szCs w:val="44"/>
          <w:highlight w:val="none"/>
        </w:rPr>
      </w:pPr>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仅供参考）</w:t>
      </w:r>
    </w:p>
    <w:p w14:paraId="70405D1C">
      <w:pPr>
        <w:jc w:val="center"/>
        <w:rPr>
          <w:rFonts w:hAnsi="宋体" w:cs="宋体"/>
          <w:b/>
          <w:bCs/>
          <w:sz w:val="44"/>
          <w:szCs w:val="44"/>
          <w:highlight w:val="none"/>
        </w:rPr>
      </w:pPr>
    </w:p>
    <w:p w14:paraId="1AE9F4CC">
      <w:pPr>
        <w:jc w:val="center"/>
        <w:rPr>
          <w:rFonts w:hAnsi="宋体" w:cs="宋体"/>
          <w:b/>
          <w:bCs/>
          <w:sz w:val="44"/>
          <w:szCs w:val="44"/>
          <w:highlight w:val="none"/>
        </w:rPr>
      </w:pPr>
    </w:p>
    <w:p w14:paraId="1D9881B0">
      <w:pPr>
        <w:jc w:val="center"/>
        <w:rPr>
          <w:rFonts w:hAnsi="宋体" w:cs="宋体"/>
          <w:b/>
          <w:bCs/>
          <w:sz w:val="44"/>
          <w:szCs w:val="44"/>
          <w:highlight w:val="none"/>
        </w:rPr>
      </w:pPr>
    </w:p>
    <w:p w14:paraId="109A3219">
      <w:pPr>
        <w:jc w:val="center"/>
        <w:rPr>
          <w:rFonts w:hAnsi="宋体" w:cs="宋体"/>
          <w:b/>
          <w:bCs/>
          <w:sz w:val="44"/>
          <w:szCs w:val="44"/>
          <w:highlight w:val="none"/>
        </w:rPr>
      </w:pPr>
    </w:p>
    <w:p w14:paraId="6788CD45">
      <w:pPr>
        <w:jc w:val="center"/>
        <w:rPr>
          <w:rFonts w:hint="eastAsia" w:hAnsi="宋体" w:cs="宋体"/>
          <w:b/>
          <w:bCs/>
          <w:sz w:val="44"/>
          <w:szCs w:val="44"/>
          <w:highlight w:val="none"/>
          <w:lang w:val="en-US" w:eastAsia="zh-CN"/>
        </w:rPr>
      </w:pPr>
      <w:r>
        <w:rPr>
          <w:rFonts w:hint="eastAsia" w:hAnsi="宋体" w:cs="宋体"/>
          <w:b/>
          <w:bCs/>
          <w:sz w:val="44"/>
          <w:szCs w:val="44"/>
          <w:highlight w:val="none"/>
          <w:lang w:val="en-US" w:eastAsia="zh-CN"/>
        </w:rPr>
        <w:t>残疾人假肢、矫形器装配(假肢装配服务)项目</w:t>
      </w:r>
    </w:p>
    <w:p w14:paraId="0076951E">
      <w:pPr>
        <w:jc w:val="center"/>
        <w:rPr>
          <w:rFonts w:hint="eastAsia" w:hAnsi="宋体" w:cs="宋体"/>
          <w:b/>
          <w:bCs/>
          <w:sz w:val="44"/>
          <w:szCs w:val="44"/>
          <w:highlight w:val="none"/>
        </w:rPr>
      </w:pPr>
    </w:p>
    <w:p w14:paraId="620A7F89">
      <w:pPr>
        <w:jc w:val="center"/>
        <w:rPr>
          <w:rFonts w:hint="eastAsia" w:hAnsi="宋体" w:cs="宋体"/>
          <w:b/>
          <w:bCs/>
          <w:sz w:val="44"/>
          <w:szCs w:val="44"/>
          <w:highlight w:val="none"/>
        </w:rPr>
      </w:pPr>
    </w:p>
    <w:p w14:paraId="0CBC3823">
      <w:pPr>
        <w:jc w:val="center"/>
        <w:rPr>
          <w:rFonts w:hint="eastAsia" w:hAnsi="宋体" w:cs="宋体"/>
          <w:b/>
          <w:bCs/>
          <w:sz w:val="44"/>
          <w:szCs w:val="44"/>
          <w:highlight w:val="none"/>
        </w:rPr>
      </w:pPr>
    </w:p>
    <w:p w14:paraId="716DD8AA">
      <w:pPr>
        <w:jc w:val="center"/>
        <w:rPr>
          <w:rFonts w:hint="eastAsia" w:hAnsi="宋体" w:cs="宋体"/>
          <w:b/>
          <w:bCs/>
          <w:sz w:val="44"/>
          <w:szCs w:val="44"/>
          <w:highlight w:val="none"/>
        </w:rPr>
      </w:pPr>
    </w:p>
    <w:p w14:paraId="77141905">
      <w:pPr>
        <w:jc w:val="center"/>
        <w:rPr>
          <w:rFonts w:hAnsi="宋体" w:cs="宋体"/>
          <w:b/>
          <w:bCs/>
          <w:sz w:val="44"/>
          <w:szCs w:val="44"/>
          <w:highlight w:val="none"/>
        </w:rPr>
      </w:pPr>
      <w:r>
        <w:rPr>
          <w:rFonts w:hint="eastAsia" w:hAnsi="宋体" w:cs="宋体"/>
          <w:b/>
          <w:bCs/>
          <w:sz w:val="44"/>
          <w:szCs w:val="44"/>
          <w:highlight w:val="none"/>
        </w:rPr>
        <w:t>采购合同</w:t>
      </w:r>
    </w:p>
    <w:p w14:paraId="57B4977B">
      <w:pPr>
        <w:rPr>
          <w:rFonts w:hAnsi="宋体" w:cs="宋体"/>
          <w:highlight w:val="none"/>
        </w:rPr>
      </w:pPr>
    </w:p>
    <w:p w14:paraId="6D12229A">
      <w:pPr>
        <w:rPr>
          <w:rFonts w:hAnsi="宋体" w:cs="宋体"/>
          <w:highlight w:val="none"/>
        </w:rPr>
      </w:pPr>
    </w:p>
    <w:p w14:paraId="59E15DB5">
      <w:pPr>
        <w:rPr>
          <w:rFonts w:hAnsi="宋体" w:cs="宋体"/>
          <w:highlight w:val="none"/>
        </w:rPr>
      </w:pPr>
    </w:p>
    <w:p w14:paraId="6FF34719">
      <w:pPr>
        <w:rPr>
          <w:rFonts w:hAnsi="宋体" w:cs="宋体"/>
          <w:highlight w:val="none"/>
        </w:rPr>
      </w:pPr>
    </w:p>
    <w:p w14:paraId="21D9D18D">
      <w:pPr>
        <w:jc w:val="center"/>
        <w:rPr>
          <w:rFonts w:hAnsi="宋体" w:cs="宋体"/>
          <w:b/>
          <w:sz w:val="36"/>
          <w:szCs w:val="36"/>
          <w:highlight w:val="none"/>
        </w:rPr>
      </w:pPr>
      <w:r>
        <w:rPr>
          <w:rFonts w:hint="eastAsia" w:hAnsi="宋体" w:cs="宋体"/>
          <w:b/>
          <w:sz w:val="36"/>
          <w:szCs w:val="36"/>
          <w:highlight w:val="none"/>
        </w:rPr>
        <w:t>（示范文本）</w:t>
      </w:r>
    </w:p>
    <w:p w14:paraId="1C020355">
      <w:pPr>
        <w:jc w:val="center"/>
        <w:rPr>
          <w:rFonts w:hAnsi="宋体" w:cs="宋体"/>
          <w:b/>
          <w:sz w:val="36"/>
          <w:szCs w:val="36"/>
          <w:highlight w:val="none"/>
        </w:rPr>
      </w:pPr>
    </w:p>
    <w:p w14:paraId="7B821151">
      <w:pPr>
        <w:jc w:val="center"/>
        <w:rPr>
          <w:rFonts w:hAnsi="宋体" w:cs="宋体"/>
          <w:b/>
          <w:sz w:val="36"/>
          <w:szCs w:val="36"/>
          <w:highlight w:val="none"/>
        </w:rPr>
      </w:pPr>
    </w:p>
    <w:p w14:paraId="4A4F6D1F">
      <w:pPr>
        <w:jc w:val="center"/>
        <w:rPr>
          <w:rFonts w:hAnsi="宋体" w:cs="宋体"/>
          <w:b/>
          <w:sz w:val="36"/>
          <w:szCs w:val="36"/>
          <w:highlight w:val="none"/>
        </w:rPr>
      </w:pPr>
    </w:p>
    <w:p w14:paraId="72319B31">
      <w:pPr>
        <w:jc w:val="center"/>
        <w:rPr>
          <w:rFonts w:hAnsi="宋体" w:cs="宋体"/>
          <w:b/>
          <w:sz w:val="36"/>
          <w:szCs w:val="36"/>
          <w:highlight w:val="none"/>
        </w:rPr>
      </w:pPr>
    </w:p>
    <w:p w14:paraId="7065DBF1">
      <w:pPr>
        <w:adjustRightInd w:val="0"/>
        <w:snapToGrid w:val="0"/>
        <w:spacing w:before="333" w:beforeLines="100" w:after="333" w:afterLines="100" w:line="580" w:lineRule="exact"/>
        <w:jc w:val="center"/>
        <w:rPr>
          <w:rFonts w:hint="eastAsia" w:hAnsi="宋体"/>
          <w:b/>
          <w:sz w:val="36"/>
          <w:szCs w:val="24"/>
          <w:highlight w:val="none"/>
        </w:rPr>
      </w:pPr>
      <w:r>
        <w:rPr>
          <w:rFonts w:hint="eastAsia" w:hAnsi="宋体"/>
          <w:b/>
          <w:sz w:val="36"/>
          <w:szCs w:val="24"/>
          <w:highlight w:val="none"/>
        </w:rPr>
        <w:br w:type="page"/>
      </w:r>
      <w:r>
        <w:rPr>
          <w:rFonts w:hint="eastAsia" w:hAnsi="宋体"/>
          <w:b/>
          <w:sz w:val="36"/>
          <w:szCs w:val="24"/>
          <w:highlight w:val="none"/>
        </w:rPr>
        <w:t>协议书</w:t>
      </w:r>
      <w:bookmarkStart w:id="9" w:name="_Toc26595"/>
      <w:bookmarkStart w:id="10" w:name="_Toc31683"/>
      <w:bookmarkStart w:id="11" w:name="_Toc20230"/>
      <w:bookmarkStart w:id="12" w:name="_Toc19199"/>
      <w:bookmarkStart w:id="13" w:name="_Toc9053"/>
      <w:bookmarkStart w:id="14" w:name="_Toc426457696"/>
      <w:bookmarkStart w:id="15" w:name="_Toc389582037"/>
      <w:bookmarkStart w:id="16" w:name="_Toc29888"/>
      <w:bookmarkStart w:id="17" w:name="_Toc19246"/>
      <w:bookmarkStart w:id="18" w:name="_Toc8333"/>
      <w:bookmarkStart w:id="19" w:name="_Toc31520"/>
      <w:bookmarkStart w:id="20" w:name="_Toc8954"/>
    </w:p>
    <w:p w14:paraId="44BFAB5C">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p>
    <w:p w14:paraId="22C8ABB8">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p>
    <w:p w14:paraId="6BDE64D6">
      <w:pPr>
        <w:spacing w:line="360" w:lineRule="auto"/>
        <w:ind w:firstLine="480" w:firstLineChars="200"/>
        <w:rPr>
          <w:rFonts w:hAnsi="宋体" w:cs="宋体"/>
          <w:szCs w:val="21"/>
          <w:highlight w:val="none"/>
        </w:rPr>
      </w:pPr>
      <w:r>
        <w:rPr>
          <w:rFonts w:hint="eastAsia" w:hAnsi="宋体" w:cs="宋体"/>
          <w:szCs w:val="21"/>
          <w:highlight w:val="none"/>
        </w:rPr>
        <w:t>根据《中华人民共和国中华人民共和国民法典》、《中华人民共和国政府采购法》与项目行业有关的法律法规，以及本项目（</w:t>
      </w:r>
      <w:r>
        <w:rPr>
          <w:rFonts w:hint="eastAsia" w:hAnsi="宋体" w:cs="宋体"/>
          <w:szCs w:val="21"/>
          <w:highlight w:val="none"/>
          <w:u w:val="single"/>
          <w:lang w:eastAsia="zh-CN"/>
        </w:rPr>
        <w:t>残疾人假肢、矫形器装配(假肢装配服务)项目</w:t>
      </w:r>
      <w:r>
        <w:rPr>
          <w:rFonts w:hint="eastAsia" w:hAnsi="宋体" w:cs="宋体"/>
          <w:szCs w:val="21"/>
          <w:highlight w:val="none"/>
        </w:rPr>
        <w:t>）相关采购要求的规定，合同双方就乙方向采购方提供</w:t>
      </w:r>
      <w:r>
        <w:rPr>
          <w:rFonts w:hint="eastAsia" w:hAnsi="宋体" w:cs="宋体"/>
          <w:szCs w:val="21"/>
          <w:highlight w:val="none"/>
          <w:u w:val="single"/>
          <w:lang w:eastAsia="zh-CN"/>
        </w:rPr>
        <w:t>残疾人假肢、矫形器装配(假肢装配服务)项目</w:t>
      </w:r>
      <w:r>
        <w:rPr>
          <w:rFonts w:hint="eastAsia" w:hAnsi="宋体" w:cs="宋体"/>
          <w:szCs w:val="21"/>
          <w:highlight w:val="none"/>
        </w:rPr>
        <w:t>协商达成一致，确立本合同。</w:t>
      </w:r>
    </w:p>
    <w:p w14:paraId="0ED4C557">
      <w:pPr>
        <w:tabs>
          <w:tab w:val="left" w:pos="480"/>
        </w:tabs>
        <w:spacing w:line="360" w:lineRule="auto"/>
        <w:outlineLvl w:val="1"/>
        <w:rPr>
          <w:rFonts w:hAnsi="宋体" w:cs="宋体"/>
          <w:b/>
          <w:szCs w:val="21"/>
          <w:highlight w:val="none"/>
        </w:rPr>
      </w:pPr>
      <w:bookmarkStart w:id="21" w:name="_Toc7407"/>
      <w:bookmarkStart w:id="22" w:name="_Toc30883"/>
      <w:bookmarkStart w:id="23" w:name="_Toc8841"/>
      <w:r>
        <w:rPr>
          <w:rFonts w:hint="eastAsia" w:hAnsi="宋体" w:cs="宋体"/>
          <w:b/>
          <w:szCs w:val="21"/>
          <w:highlight w:val="none"/>
        </w:rPr>
        <w:t>一、合同标的物内容、数量及单价</w:t>
      </w:r>
      <w:r>
        <w:rPr>
          <w:rFonts w:hint="eastAsia" w:hAnsi="宋体" w:cs="宋体"/>
          <w:szCs w:val="21"/>
          <w:highlight w:val="none"/>
        </w:rPr>
        <w:t>（以</w:t>
      </w:r>
      <w:r>
        <w:rPr>
          <w:rFonts w:hint="eastAsia" w:hAnsi="宋体" w:cs="宋体"/>
          <w:szCs w:val="21"/>
          <w:highlight w:val="none"/>
          <w:lang w:eastAsia="zh-CN"/>
        </w:rPr>
        <w:t>投标文件</w:t>
      </w:r>
      <w:r>
        <w:rPr>
          <w:rFonts w:hint="eastAsia" w:hAnsi="宋体" w:cs="宋体"/>
          <w:szCs w:val="21"/>
          <w:highlight w:val="none"/>
        </w:rPr>
        <w:t>正本和澄清表〈函〉为准）</w:t>
      </w:r>
      <w:bookmarkEnd w:id="21"/>
      <w:bookmarkEnd w:id="22"/>
      <w:bookmarkEnd w:id="23"/>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14:paraId="59B73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46F22AFC">
            <w:pPr>
              <w:tabs>
                <w:tab w:val="left" w:pos="480"/>
              </w:tabs>
              <w:spacing w:line="396" w:lineRule="exact"/>
              <w:jc w:val="center"/>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2F69D6CD">
            <w:pPr>
              <w:tabs>
                <w:tab w:val="left" w:pos="480"/>
              </w:tabs>
              <w:spacing w:line="396" w:lineRule="exact"/>
              <w:jc w:val="center"/>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noWrap w:val="0"/>
            <w:vAlign w:val="center"/>
          </w:tcPr>
          <w:p w14:paraId="0907D37B">
            <w:pPr>
              <w:tabs>
                <w:tab w:val="left" w:pos="480"/>
              </w:tabs>
              <w:spacing w:line="396" w:lineRule="exact"/>
              <w:jc w:val="center"/>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noWrap w:val="0"/>
            <w:vAlign w:val="center"/>
          </w:tcPr>
          <w:p w14:paraId="1935D0C3">
            <w:pPr>
              <w:tabs>
                <w:tab w:val="left" w:pos="480"/>
              </w:tabs>
              <w:spacing w:line="396" w:lineRule="exact"/>
              <w:jc w:val="center"/>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noWrap w:val="0"/>
            <w:vAlign w:val="center"/>
          </w:tcPr>
          <w:p w14:paraId="7F4A1E67">
            <w:pPr>
              <w:tabs>
                <w:tab w:val="left" w:pos="480"/>
              </w:tabs>
              <w:spacing w:line="396" w:lineRule="exact"/>
              <w:jc w:val="center"/>
              <w:rPr>
                <w:rFonts w:hAnsi="宋体" w:cs="宋体"/>
                <w:szCs w:val="21"/>
                <w:highlight w:val="none"/>
              </w:rPr>
            </w:pPr>
            <w:r>
              <w:rPr>
                <w:rFonts w:hint="eastAsia" w:hAnsi="宋体" w:cs="宋体"/>
                <w:szCs w:val="21"/>
                <w:highlight w:val="none"/>
              </w:rPr>
              <w:t>备注</w:t>
            </w:r>
          </w:p>
        </w:tc>
      </w:tr>
      <w:tr w14:paraId="4770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6A94430F">
            <w:pPr>
              <w:tabs>
                <w:tab w:val="left" w:pos="480"/>
              </w:tabs>
              <w:spacing w:line="396" w:lineRule="exact"/>
              <w:jc w:val="center"/>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5B34BFCE">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3CCA4B69">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20297A6E">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705493A1">
            <w:pPr>
              <w:tabs>
                <w:tab w:val="left" w:pos="480"/>
              </w:tabs>
              <w:spacing w:line="396" w:lineRule="exact"/>
              <w:jc w:val="center"/>
              <w:rPr>
                <w:rFonts w:hAnsi="宋体" w:cs="宋体"/>
                <w:szCs w:val="21"/>
                <w:highlight w:val="none"/>
              </w:rPr>
            </w:pPr>
          </w:p>
        </w:tc>
      </w:tr>
      <w:tr w14:paraId="04D5B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noWrap w:val="0"/>
            <w:vAlign w:val="center"/>
          </w:tcPr>
          <w:p w14:paraId="47818BCC">
            <w:pPr>
              <w:tabs>
                <w:tab w:val="left" w:pos="480"/>
              </w:tabs>
              <w:spacing w:line="396" w:lineRule="exact"/>
              <w:jc w:val="center"/>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27003DB7">
            <w:pPr>
              <w:tabs>
                <w:tab w:val="left" w:pos="480"/>
              </w:tabs>
              <w:spacing w:line="396" w:lineRule="exact"/>
              <w:jc w:val="center"/>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noWrap w:val="0"/>
            <w:vAlign w:val="center"/>
          </w:tcPr>
          <w:p w14:paraId="2FBDD46A">
            <w:pPr>
              <w:tabs>
                <w:tab w:val="left" w:pos="480"/>
              </w:tabs>
              <w:spacing w:line="396" w:lineRule="exact"/>
              <w:jc w:val="center"/>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noWrap w:val="0"/>
            <w:vAlign w:val="center"/>
          </w:tcPr>
          <w:p w14:paraId="32DF2BEF">
            <w:pPr>
              <w:tabs>
                <w:tab w:val="left" w:pos="480"/>
              </w:tabs>
              <w:spacing w:line="396" w:lineRule="exact"/>
              <w:jc w:val="center"/>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noWrap w:val="0"/>
            <w:vAlign w:val="center"/>
          </w:tcPr>
          <w:p w14:paraId="52FBC9B6">
            <w:pPr>
              <w:tabs>
                <w:tab w:val="left" w:pos="480"/>
              </w:tabs>
              <w:spacing w:line="396" w:lineRule="exact"/>
              <w:jc w:val="center"/>
              <w:rPr>
                <w:rFonts w:hAnsi="宋体" w:cs="宋体"/>
                <w:szCs w:val="21"/>
                <w:highlight w:val="none"/>
              </w:rPr>
            </w:pPr>
          </w:p>
        </w:tc>
      </w:tr>
    </w:tbl>
    <w:p w14:paraId="0E798ADA">
      <w:pPr>
        <w:tabs>
          <w:tab w:val="left" w:pos="480"/>
        </w:tabs>
        <w:spacing w:line="360" w:lineRule="auto"/>
        <w:outlineLvl w:val="1"/>
        <w:rPr>
          <w:rFonts w:hAnsi="宋体" w:cs="宋体"/>
          <w:b/>
          <w:szCs w:val="21"/>
          <w:highlight w:val="none"/>
        </w:rPr>
      </w:pPr>
      <w:bookmarkStart w:id="24" w:name="_Toc8887"/>
      <w:bookmarkStart w:id="25" w:name="_Toc4137"/>
      <w:bookmarkStart w:id="26" w:name="_Toc3926"/>
      <w:r>
        <w:rPr>
          <w:rFonts w:hint="eastAsia" w:hAnsi="宋体" w:cs="宋体"/>
          <w:b/>
          <w:szCs w:val="21"/>
          <w:highlight w:val="none"/>
        </w:rPr>
        <w:t>二、合同价款</w:t>
      </w:r>
      <w:bookmarkEnd w:id="24"/>
      <w:bookmarkEnd w:id="25"/>
      <w:bookmarkEnd w:id="26"/>
    </w:p>
    <w:p w14:paraId="58788BB4">
      <w:pPr>
        <w:tabs>
          <w:tab w:val="left" w:pos="480"/>
        </w:tabs>
        <w:spacing w:line="360" w:lineRule="auto"/>
        <w:ind w:firstLine="480" w:firstLineChars="200"/>
        <w:rPr>
          <w:rFonts w:hAnsi="宋体" w:cs="宋体"/>
          <w:szCs w:val="21"/>
          <w:highlight w:val="none"/>
          <w:u w:val="single"/>
        </w:rPr>
      </w:pPr>
      <w:r>
        <w:rPr>
          <w:rFonts w:hint="eastAsia" w:hAnsi="宋体" w:cs="宋体"/>
          <w:szCs w:val="21"/>
          <w:highlight w:val="none"/>
        </w:rPr>
        <w:t>（一）本合同为总价合同，各项活动服务的合同总价为其磋商最终报价。</w:t>
      </w:r>
    </w:p>
    <w:p w14:paraId="11ED9E3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（二）合同价包括：</w:t>
      </w:r>
      <w:r>
        <w:rPr>
          <w:rFonts w:hint="eastAsia"/>
          <w:highlight w:val="none"/>
        </w:rPr>
        <w:t>包括但不限于人工费、设备使用费、办公费、服务费、交通费、招标代理服务费、税金等其他一切相关费用。</w:t>
      </w:r>
    </w:p>
    <w:p w14:paraId="6C06E912">
      <w:pPr>
        <w:tabs>
          <w:tab w:val="left" w:pos="480"/>
        </w:tabs>
        <w:spacing w:line="360" w:lineRule="auto"/>
        <w:outlineLvl w:val="1"/>
        <w:rPr>
          <w:rFonts w:hAnsi="宋体" w:cs="宋体"/>
          <w:b/>
          <w:szCs w:val="21"/>
          <w:highlight w:val="none"/>
        </w:rPr>
      </w:pPr>
      <w:bookmarkStart w:id="27" w:name="_Toc6296"/>
      <w:bookmarkStart w:id="28" w:name="_Toc28664"/>
      <w:bookmarkStart w:id="29" w:name="_Toc23247"/>
      <w:r>
        <w:rPr>
          <w:rFonts w:hint="eastAsia" w:hAnsi="宋体" w:cs="宋体"/>
          <w:b/>
          <w:szCs w:val="21"/>
          <w:highlight w:val="none"/>
        </w:rPr>
        <w:t>三、款项结算</w:t>
      </w:r>
      <w:bookmarkEnd w:id="27"/>
      <w:bookmarkEnd w:id="28"/>
      <w:bookmarkEnd w:id="29"/>
    </w:p>
    <w:p w14:paraId="0A7F73A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详见合同前附表。</w:t>
      </w:r>
    </w:p>
    <w:p w14:paraId="0D1F98BE">
      <w:pPr>
        <w:tabs>
          <w:tab w:val="left" w:pos="480"/>
        </w:tabs>
        <w:spacing w:line="360" w:lineRule="auto"/>
        <w:outlineLvl w:val="1"/>
        <w:rPr>
          <w:rFonts w:hAnsi="宋体" w:cs="宋体"/>
          <w:szCs w:val="21"/>
          <w:highlight w:val="none"/>
        </w:rPr>
      </w:pPr>
      <w:bookmarkStart w:id="30" w:name="_Toc21110"/>
      <w:bookmarkStart w:id="31" w:name="_Toc21714"/>
      <w:bookmarkStart w:id="32" w:name="_Toc24406"/>
      <w:r>
        <w:rPr>
          <w:rFonts w:hint="eastAsia" w:hAnsi="宋体" w:cs="宋体"/>
          <w:b/>
          <w:szCs w:val="21"/>
          <w:highlight w:val="none"/>
        </w:rPr>
        <w:t>四、服务条件：</w:t>
      </w:r>
      <w:bookmarkEnd w:id="30"/>
      <w:bookmarkEnd w:id="31"/>
      <w:bookmarkEnd w:id="32"/>
    </w:p>
    <w:p w14:paraId="7514D59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（一）服务地点：</w:t>
      </w:r>
      <w:r>
        <w:rPr>
          <w:rFonts w:hint="eastAsia" w:hAnsi="宋体" w:cs="宋体"/>
          <w:szCs w:val="24"/>
          <w:highlight w:val="none"/>
        </w:rPr>
        <w:t>采购人指定地点</w:t>
      </w:r>
      <w:r>
        <w:rPr>
          <w:rFonts w:hint="eastAsia" w:hAnsi="宋体" w:cs="宋体"/>
          <w:szCs w:val="21"/>
          <w:highlight w:val="none"/>
        </w:rPr>
        <w:t>。</w:t>
      </w:r>
    </w:p>
    <w:p w14:paraId="24099816">
      <w:pPr>
        <w:tabs>
          <w:tab w:val="left" w:pos="480"/>
        </w:tabs>
        <w:spacing w:line="360" w:lineRule="auto"/>
        <w:ind w:firstLine="480" w:firstLineChars="200"/>
        <w:rPr>
          <w:rFonts w:hint="eastAsia" w:hAnsi="宋体" w:cs="宋体"/>
          <w:szCs w:val="21"/>
          <w:highlight w:val="none"/>
        </w:rPr>
      </w:pPr>
      <w:r>
        <w:rPr>
          <w:rFonts w:hint="eastAsia" w:hAnsi="宋体" w:cs="宋体"/>
          <w:szCs w:val="21"/>
          <w:highlight w:val="none"/>
        </w:rPr>
        <w:t>（二）</w:t>
      </w:r>
      <w:r>
        <w:rPr>
          <w:rFonts w:hint="eastAsia" w:hAnsi="宋体" w:cs="宋体"/>
          <w:szCs w:val="21"/>
          <w:highlight w:val="none"/>
          <w:lang w:val="en-US" w:eastAsia="zh-CN"/>
        </w:rPr>
        <w:t>服务期</w:t>
      </w:r>
      <w:r>
        <w:rPr>
          <w:rFonts w:hint="eastAsia" w:hAnsi="宋体" w:cs="宋体"/>
          <w:szCs w:val="21"/>
          <w:highlight w:val="none"/>
        </w:rPr>
        <w:t>：</w:t>
      </w:r>
      <w:r>
        <w:rPr>
          <w:rFonts w:hint="eastAsia" w:hAnsi="宋体" w:cs="宋体"/>
          <w:szCs w:val="21"/>
          <w:highlight w:val="none"/>
          <w:lang w:val="en-US" w:eastAsia="zh-CN"/>
        </w:rPr>
        <w:t>合同签订之日起至2025年12月31日</w:t>
      </w:r>
      <w:r>
        <w:rPr>
          <w:rFonts w:hint="eastAsia" w:hAnsi="宋体" w:cs="宋体"/>
          <w:szCs w:val="21"/>
          <w:highlight w:val="none"/>
        </w:rPr>
        <w:t>。</w:t>
      </w:r>
    </w:p>
    <w:p w14:paraId="0139572F">
      <w:pPr>
        <w:tabs>
          <w:tab w:val="left" w:pos="480"/>
        </w:tabs>
        <w:spacing w:line="360" w:lineRule="auto"/>
        <w:outlineLvl w:val="1"/>
        <w:rPr>
          <w:rFonts w:hAnsi="宋体" w:cs="宋体"/>
          <w:b/>
          <w:szCs w:val="21"/>
          <w:highlight w:val="none"/>
        </w:rPr>
      </w:pPr>
      <w:bookmarkStart w:id="33" w:name="_Toc32459"/>
      <w:bookmarkStart w:id="34" w:name="_Toc7966"/>
      <w:bookmarkStart w:id="35" w:name="_Toc27382"/>
      <w:r>
        <w:rPr>
          <w:rFonts w:hint="eastAsia" w:hAnsi="宋体" w:cs="宋体"/>
          <w:b/>
          <w:szCs w:val="21"/>
          <w:highlight w:val="none"/>
        </w:rPr>
        <w:t>五、质量保证</w:t>
      </w:r>
      <w:bookmarkEnd w:id="33"/>
      <w:bookmarkEnd w:id="34"/>
      <w:bookmarkEnd w:id="35"/>
    </w:p>
    <w:p w14:paraId="512E44CE">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1.乙方所提供的服务保证技术指标符合要求、质量性能可靠、必须符合国家相关法律法规的要求。</w:t>
      </w:r>
    </w:p>
    <w:p w14:paraId="239704A7">
      <w:pPr>
        <w:tabs>
          <w:tab w:val="left" w:pos="480"/>
        </w:tabs>
        <w:spacing w:line="360" w:lineRule="auto"/>
        <w:ind w:firstLine="470" w:firstLineChars="196"/>
        <w:rPr>
          <w:rFonts w:hAnsi="宋体" w:cs="宋体"/>
          <w:szCs w:val="21"/>
          <w:highlight w:val="none"/>
        </w:rPr>
      </w:pPr>
      <w:r>
        <w:rPr>
          <w:rFonts w:hint="eastAsia" w:hAnsi="宋体" w:cs="宋体"/>
          <w:szCs w:val="21"/>
          <w:highlight w:val="none"/>
        </w:rPr>
        <w:t>2、</w:t>
      </w:r>
      <w:r>
        <w:rPr>
          <w:rFonts w:hint="eastAsia" w:hAnsi="宋体" w:cs="宋体"/>
          <w:szCs w:val="21"/>
          <w:highlight w:val="none"/>
          <w:lang w:eastAsia="zh-CN"/>
        </w:rPr>
        <w:t>中标单位</w:t>
      </w:r>
      <w:r>
        <w:rPr>
          <w:rFonts w:hint="eastAsia" w:hAnsi="宋体" w:cs="宋体"/>
          <w:szCs w:val="21"/>
          <w:highlight w:val="none"/>
        </w:rPr>
        <w:t>应当保证其具有完成本项目所要求的服务所必须具备的专业设备和服务能力。</w:t>
      </w:r>
    </w:p>
    <w:p w14:paraId="7623C317">
      <w:pPr>
        <w:tabs>
          <w:tab w:val="left" w:pos="480"/>
        </w:tabs>
        <w:spacing w:line="360" w:lineRule="auto"/>
        <w:outlineLvl w:val="1"/>
        <w:rPr>
          <w:rFonts w:hAnsi="宋体" w:cs="宋体"/>
          <w:b/>
          <w:szCs w:val="21"/>
          <w:highlight w:val="none"/>
        </w:rPr>
      </w:pPr>
      <w:bookmarkStart w:id="36" w:name="_Toc21314"/>
      <w:bookmarkStart w:id="37" w:name="_Toc9903"/>
      <w:bookmarkStart w:id="38" w:name="_Toc12558"/>
      <w:r>
        <w:rPr>
          <w:rFonts w:hint="eastAsia" w:hAnsi="宋体" w:cs="宋体"/>
          <w:b/>
          <w:szCs w:val="21"/>
          <w:highlight w:val="none"/>
        </w:rPr>
        <w:t>六、技术与服务</w:t>
      </w:r>
      <w:bookmarkEnd w:id="36"/>
      <w:bookmarkEnd w:id="37"/>
      <w:bookmarkEnd w:id="38"/>
    </w:p>
    <w:p w14:paraId="1F35BCE6">
      <w:pPr>
        <w:tabs>
          <w:tab w:val="left" w:pos="480"/>
        </w:tabs>
        <w:spacing w:line="360" w:lineRule="auto"/>
        <w:ind w:firstLine="480" w:firstLineChars="200"/>
        <w:rPr>
          <w:highlight w:val="none"/>
        </w:rPr>
      </w:pPr>
      <w:r>
        <w:rPr>
          <w:rFonts w:hint="eastAsia" w:hAnsi="宋体" w:cs="宋体"/>
          <w:szCs w:val="21"/>
          <w:highlight w:val="none"/>
        </w:rPr>
        <w:t>以</w:t>
      </w:r>
      <w:r>
        <w:rPr>
          <w:rFonts w:hint="eastAsia" w:hAnsi="宋体" w:cs="宋体"/>
          <w:szCs w:val="21"/>
          <w:highlight w:val="none"/>
          <w:lang w:eastAsia="zh-CN"/>
        </w:rPr>
        <w:t>投标文件</w:t>
      </w:r>
      <w:r>
        <w:rPr>
          <w:rFonts w:hint="eastAsia" w:hAnsi="宋体" w:cs="宋体"/>
          <w:szCs w:val="21"/>
          <w:highlight w:val="none"/>
        </w:rPr>
        <w:t>、澄清表（函）、合同和随货物的相关文件为准。</w:t>
      </w:r>
    </w:p>
    <w:p w14:paraId="4B8E665E">
      <w:pPr>
        <w:tabs>
          <w:tab w:val="left" w:pos="480"/>
        </w:tabs>
        <w:spacing w:line="360" w:lineRule="auto"/>
        <w:outlineLvl w:val="1"/>
        <w:rPr>
          <w:rFonts w:hAnsi="宋体" w:cs="宋体"/>
          <w:b/>
          <w:szCs w:val="21"/>
          <w:highlight w:val="none"/>
        </w:rPr>
      </w:pPr>
      <w:bookmarkStart w:id="39" w:name="_Toc12975"/>
      <w:bookmarkStart w:id="40" w:name="_Toc14409"/>
      <w:bookmarkStart w:id="41" w:name="_Toc22161"/>
      <w:r>
        <w:rPr>
          <w:rFonts w:hint="eastAsia" w:hAnsi="宋体" w:cs="宋体"/>
          <w:b/>
          <w:szCs w:val="21"/>
          <w:highlight w:val="none"/>
        </w:rPr>
        <w:t>七、验收</w:t>
      </w:r>
      <w:bookmarkEnd w:id="39"/>
      <w:bookmarkEnd w:id="40"/>
      <w:bookmarkEnd w:id="41"/>
    </w:p>
    <w:p w14:paraId="2A7E9063">
      <w:pPr>
        <w:spacing w:line="360" w:lineRule="auto"/>
        <w:ind w:firstLine="480" w:firstLineChars="200"/>
        <w:rPr>
          <w:rFonts w:hint="eastAsia" w:hAnsi="宋体" w:cs="宋体"/>
          <w:szCs w:val="24"/>
          <w:highlight w:val="none"/>
        </w:rPr>
      </w:pPr>
      <w:bookmarkStart w:id="42" w:name="_Toc9858"/>
      <w:bookmarkStart w:id="43" w:name="_Toc30681"/>
      <w:bookmarkStart w:id="44" w:name="_Toc20026"/>
      <w:r>
        <w:rPr>
          <w:rFonts w:hint="eastAsia" w:hAnsi="宋体" w:cs="宋体"/>
          <w:szCs w:val="24"/>
          <w:highlight w:val="none"/>
        </w:rPr>
        <w:t>（1）服务期满后按照成交供应商所提供的资料及数据进行验收；</w:t>
      </w:r>
    </w:p>
    <w:p w14:paraId="53BF46A1">
      <w:pPr>
        <w:spacing w:line="360" w:lineRule="auto"/>
        <w:ind w:firstLine="480" w:firstLineChars="200"/>
        <w:rPr>
          <w:rFonts w:hint="eastAsia" w:hAnsi="宋体" w:cs="宋体"/>
          <w:szCs w:val="24"/>
          <w:highlight w:val="none"/>
        </w:rPr>
      </w:pPr>
      <w:r>
        <w:rPr>
          <w:rFonts w:hint="eastAsia" w:hAnsi="宋体" w:cs="宋体"/>
          <w:szCs w:val="24"/>
          <w:highlight w:val="none"/>
        </w:rPr>
        <w:t>（2）最终验收：自合同签订之日起至完成全部项目内容，需按照采购人确定的时间完成交付并验收合格，验收合格后，填写验收单。</w:t>
      </w:r>
    </w:p>
    <w:p w14:paraId="5A53CFE0">
      <w:pPr>
        <w:spacing w:line="360" w:lineRule="auto"/>
        <w:ind w:firstLine="480" w:firstLineChars="200"/>
        <w:rPr>
          <w:rFonts w:hint="eastAsia" w:hAnsi="宋体" w:cs="宋体"/>
          <w:szCs w:val="24"/>
          <w:highlight w:val="none"/>
        </w:rPr>
      </w:pPr>
      <w:r>
        <w:rPr>
          <w:rFonts w:hint="eastAsia" w:hAnsi="宋体" w:cs="宋体"/>
          <w:szCs w:val="24"/>
          <w:highlight w:val="none"/>
        </w:rPr>
        <w:t>（3）验收和评价方式：</w:t>
      </w:r>
    </w:p>
    <w:p w14:paraId="732BAB3A">
      <w:pPr>
        <w:spacing w:line="360" w:lineRule="auto"/>
        <w:ind w:firstLine="480" w:firstLineChars="200"/>
        <w:rPr>
          <w:rFonts w:hint="eastAsia" w:hAnsi="宋体" w:cs="宋体"/>
          <w:szCs w:val="24"/>
          <w:highlight w:val="none"/>
        </w:rPr>
      </w:pPr>
      <w:r>
        <w:rPr>
          <w:rFonts w:hint="eastAsia" w:hAnsi="宋体" w:cs="宋体"/>
          <w:szCs w:val="24"/>
          <w:highlight w:val="none"/>
        </w:rPr>
        <w:t>1、服务期满后按照成交供应商所提供的资料及数据进行验收；</w:t>
      </w:r>
    </w:p>
    <w:p w14:paraId="29DC5CFB">
      <w:pPr>
        <w:spacing w:line="360" w:lineRule="auto"/>
        <w:ind w:firstLine="480" w:firstLineChars="200"/>
        <w:rPr>
          <w:rFonts w:hint="eastAsia" w:hAnsi="宋体" w:cs="宋体"/>
          <w:szCs w:val="24"/>
          <w:highlight w:val="none"/>
        </w:rPr>
      </w:pPr>
      <w:r>
        <w:rPr>
          <w:rFonts w:hint="eastAsia" w:hAnsi="宋体" w:cs="宋体"/>
          <w:szCs w:val="24"/>
          <w:highlight w:val="none"/>
        </w:rPr>
        <w:t>2、最终验收：自合同签订之日起至完成全部项目内容，需按照采购人确定的时间完成交付并验收合格，验收合格后，填写验收单。</w:t>
      </w:r>
    </w:p>
    <w:p w14:paraId="746647CA">
      <w:pPr>
        <w:spacing w:line="360" w:lineRule="auto"/>
        <w:ind w:firstLine="480" w:firstLineChars="200"/>
        <w:rPr>
          <w:rFonts w:hint="eastAsia" w:hAnsi="宋体" w:cs="宋体"/>
          <w:szCs w:val="24"/>
          <w:highlight w:val="none"/>
        </w:rPr>
      </w:pPr>
      <w:r>
        <w:rPr>
          <w:rFonts w:hint="eastAsia" w:hAnsi="宋体" w:cs="宋体"/>
          <w:szCs w:val="24"/>
          <w:highlight w:val="none"/>
        </w:rPr>
        <w:t>3、验收和评价方式</w:t>
      </w:r>
    </w:p>
    <w:p w14:paraId="50C9E6BD">
      <w:pPr>
        <w:spacing w:line="360" w:lineRule="auto"/>
        <w:ind w:firstLine="480" w:firstLineChars="200"/>
        <w:rPr>
          <w:rFonts w:hint="eastAsia" w:hAnsi="宋体" w:cs="宋体"/>
          <w:szCs w:val="24"/>
          <w:highlight w:val="none"/>
        </w:rPr>
      </w:pPr>
      <w:r>
        <w:rPr>
          <w:rFonts w:hint="eastAsia" w:hAnsi="宋体" w:cs="宋体"/>
          <w:szCs w:val="24"/>
          <w:highlight w:val="none"/>
        </w:rPr>
        <w:t>3.1  乙方提供的服务最终验收达不到</w:t>
      </w:r>
      <w:r>
        <w:rPr>
          <w:rFonts w:hint="eastAsia" w:hAnsi="宋体" w:cs="宋体"/>
          <w:szCs w:val="24"/>
          <w:highlight w:val="none"/>
          <w:lang w:eastAsia="zh-CN"/>
        </w:rPr>
        <w:t>招标文件</w:t>
      </w:r>
      <w:r>
        <w:rPr>
          <w:rFonts w:hint="eastAsia" w:hAnsi="宋体" w:cs="宋体"/>
          <w:szCs w:val="24"/>
          <w:highlight w:val="none"/>
        </w:rPr>
        <w:t>要求和</w:t>
      </w:r>
      <w:r>
        <w:rPr>
          <w:rFonts w:hint="eastAsia" w:hAnsi="宋体" w:cs="宋体"/>
          <w:szCs w:val="24"/>
          <w:highlight w:val="none"/>
          <w:lang w:eastAsia="zh-CN"/>
        </w:rPr>
        <w:t>投标文件</w:t>
      </w:r>
      <w:r>
        <w:rPr>
          <w:rFonts w:hint="eastAsia" w:hAnsi="宋体" w:cs="宋体"/>
          <w:szCs w:val="24"/>
          <w:highlight w:val="none"/>
        </w:rPr>
        <w:t>承诺及国家或行业标准，或在使用中发现甲方不能容忍的缺陷等，将视为验收不合格，乙方应在甲方要求的时间内无条件完善或要求赔付采购人损失。</w:t>
      </w:r>
    </w:p>
    <w:p w14:paraId="45EF63E3">
      <w:pPr>
        <w:spacing w:line="360" w:lineRule="auto"/>
        <w:ind w:firstLine="480" w:firstLineChars="200"/>
        <w:rPr>
          <w:rFonts w:hint="eastAsia" w:hAnsi="宋体" w:cs="宋体"/>
          <w:szCs w:val="24"/>
          <w:highlight w:val="none"/>
        </w:rPr>
      </w:pPr>
      <w:r>
        <w:rPr>
          <w:rFonts w:hint="eastAsia" w:hAnsi="宋体" w:cs="宋体"/>
          <w:szCs w:val="24"/>
          <w:highlight w:val="none"/>
        </w:rPr>
        <w:t>3.2  若发现乙方有弄虚作假的，及在项目实施阶段故意或随意夸大服务，本项目合同解除，乙方赔偿甲方相应的损失。</w:t>
      </w:r>
    </w:p>
    <w:p w14:paraId="252F85F4">
      <w:pPr>
        <w:spacing w:line="360" w:lineRule="auto"/>
        <w:ind w:firstLine="480" w:firstLineChars="200"/>
        <w:rPr>
          <w:rFonts w:hint="eastAsia" w:hAnsi="宋体" w:cs="宋体"/>
          <w:szCs w:val="24"/>
          <w:highlight w:val="none"/>
        </w:rPr>
      </w:pPr>
      <w:r>
        <w:rPr>
          <w:rFonts w:hint="eastAsia" w:hAnsi="宋体" w:cs="宋体"/>
          <w:szCs w:val="24"/>
          <w:highlight w:val="none"/>
        </w:rPr>
        <w:t>3.3  验收标准：按</w:t>
      </w:r>
      <w:r>
        <w:rPr>
          <w:rFonts w:hint="eastAsia" w:hAnsi="宋体" w:cs="宋体"/>
          <w:szCs w:val="24"/>
          <w:highlight w:val="none"/>
          <w:lang w:val="en-US" w:eastAsia="zh-CN"/>
        </w:rPr>
        <w:t>招标</w:t>
      </w:r>
      <w:r>
        <w:rPr>
          <w:rFonts w:hint="eastAsia" w:hAnsi="宋体" w:cs="宋体"/>
          <w:szCs w:val="24"/>
          <w:highlight w:val="none"/>
        </w:rPr>
        <w:t>文件、</w:t>
      </w:r>
      <w:r>
        <w:rPr>
          <w:rFonts w:hint="eastAsia" w:hAnsi="宋体" w:cs="宋体"/>
          <w:szCs w:val="24"/>
          <w:highlight w:val="none"/>
          <w:lang w:val="en-US" w:eastAsia="zh-CN"/>
        </w:rPr>
        <w:t>投标</w:t>
      </w:r>
      <w:r>
        <w:rPr>
          <w:rFonts w:hint="eastAsia" w:hAnsi="宋体" w:cs="宋体"/>
          <w:szCs w:val="24"/>
          <w:highlight w:val="none"/>
        </w:rPr>
        <w:t>文件等服务指标进行逐项验收，各项指标均应符合验收标准及要求。</w:t>
      </w:r>
    </w:p>
    <w:p w14:paraId="7C294D6E">
      <w:pPr>
        <w:spacing w:line="360" w:lineRule="auto"/>
        <w:ind w:firstLine="480" w:firstLineChars="200"/>
        <w:rPr>
          <w:rFonts w:hint="eastAsia" w:hAnsi="宋体" w:cs="宋体"/>
          <w:szCs w:val="24"/>
          <w:highlight w:val="none"/>
        </w:rPr>
      </w:pPr>
      <w:r>
        <w:rPr>
          <w:rFonts w:hint="eastAsia" w:hAnsi="宋体" w:cs="宋体"/>
          <w:szCs w:val="24"/>
          <w:highlight w:val="none"/>
        </w:rPr>
        <w:t>3.4  验收合格后，填写验收单，双方盖章、签字生效。</w:t>
      </w:r>
    </w:p>
    <w:p w14:paraId="59A93B1B">
      <w:pPr>
        <w:spacing w:line="360" w:lineRule="auto"/>
        <w:ind w:firstLine="480" w:firstLineChars="200"/>
        <w:rPr>
          <w:rFonts w:hint="eastAsia" w:hAnsi="宋体" w:cs="宋体"/>
          <w:szCs w:val="24"/>
          <w:highlight w:val="none"/>
        </w:rPr>
      </w:pPr>
      <w:r>
        <w:rPr>
          <w:rFonts w:hint="eastAsia" w:hAnsi="宋体" w:cs="宋体"/>
          <w:szCs w:val="24"/>
          <w:highlight w:val="none"/>
        </w:rPr>
        <w:t>3.5  验收依据</w:t>
      </w:r>
    </w:p>
    <w:p w14:paraId="531FDAF4">
      <w:pPr>
        <w:spacing w:line="360" w:lineRule="auto"/>
        <w:ind w:firstLine="480" w:firstLineChars="200"/>
        <w:rPr>
          <w:rFonts w:hint="eastAsia" w:hAnsi="宋体" w:cs="宋体"/>
          <w:szCs w:val="24"/>
          <w:highlight w:val="none"/>
        </w:rPr>
      </w:pPr>
      <w:r>
        <w:rPr>
          <w:rFonts w:hint="eastAsia" w:hAnsi="宋体" w:cs="宋体"/>
          <w:szCs w:val="24"/>
          <w:highlight w:val="none"/>
        </w:rPr>
        <w:t>3.5.1  合同文本。</w:t>
      </w:r>
    </w:p>
    <w:p w14:paraId="4A9085E4">
      <w:pPr>
        <w:spacing w:line="360" w:lineRule="auto"/>
        <w:ind w:firstLine="480" w:firstLineChars="200"/>
        <w:rPr>
          <w:rFonts w:hint="eastAsia" w:hAnsi="宋体" w:cs="宋体"/>
          <w:szCs w:val="24"/>
          <w:highlight w:val="none"/>
        </w:rPr>
      </w:pPr>
      <w:r>
        <w:rPr>
          <w:rFonts w:hint="eastAsia" w:hAnsi="宋体" w:cs="宋体"/>
          <w:szCs w:val="24"/>
          <w:highlight w:val="none"/>
        </w:rPr>
        <w:t xml:space="preserve">3.5.2  </w:t>
      </w:r>
      <w:r>
        <w:rPr>
          <w:rFonts w:hint="eastAsia" w:hAnsi="宋体" w:cs="宋体"/>
          <w:szCs w:val="24"/>
          <w:highlight w:val="none"/>
          <w:lang w:val="en-US" w:eastAsia="zh-CN"/>
        </w:rPr>
        <w:t>招标文件</w:t>
      </w:r>
      <w:r>
        <w:rPr>
          <w:rFonts w:hint="eastAsia" w:hAnsi="宋体" w:cs="宋体"/>
          <w:szCs w:val="24"/>
          <w:highlight w:val="none"/>
        </w:rPr>
        <w:t>、</w:t>
      </w:r>
      <w:r>
        <w:rPr>
          <w:rFonts w:hint="eastAsia" w:hAnsi="宋体" w:cs="宋体"/>
          <w:szCs w:val="24"/>
          <w:highlight w:val="none"/>
          <w:lang w:val="en-US" w:eastAsia="zh-CN"/>
        </w:rPr>
        <w:t>投标</w:t>
      </w:r>
      <w:r>
        <w:rPr>
          <w:rFonts w:hint="eastAsia" w:hAnsi="宋体" w:cs="宋体"/>
          <w:szCs w:val="24"/>
          <w:highlight w:val="none"/>
        </w:rPr>
        <w:t>文件、澄清函。</w:t>
      </w:r>
    </w:p>
    <w:p w14:paraId="02625049">
      <w:pPr>
        <w:spacing w:line="360" w:lineRule="auto"/>
        <w:ind w:firstLine="480" w:firstLineChars="200"/>
        <w:rPr>
          <w:rFonts w:hint="eastAsia" w:hAnsi="宋体" w:cs="宋体"/>
          <w:szCs w:val="24"/>
          <w:highlight w:val="none"/>
        </w:rPr>
      </w:pPr>
      <w:r>
        <w:rPr>
          <w:rFonts w:hint="eastAsia" w:hAnsi="宋体" w:cs="宋体"/>
          <w:szCs w:val="24"/>
          <w:highlight w:val="none"/>
        </w:rPr>
        <w:t>3.5.3  国家和行业制定的相应的标准和规范。</w:t>
      </w:r>
    </w:p>
    <w:p w14:paraId="052B7684">
      <w:pPr>
        <w:tabs>
          <w:tab w:val="left" w:pos="480"/>
        </w:tabs>
        <w:spacing w:line="360" w:lineRule="auto"/>
        <w:outlineLvl w:val="1"/>
        <w:rPr>
          <w:rFonts w:hAnsi="宋体" w:cs="宋体"/>
          <w:b/>
          <w:szCs w:val="21"/>
          <w:highlight w:val="none"/>
        </w:rPr>
      </w:pPr>
      <w:r>
        <w:rPr>
          <w:rFonts w:hint="eastAsia" w:hAnsi="宋体" w:cs="宋体"/>
          <w:szCs w:val="24"/>
          <w:highlight w:val="none"/>
        </w:rPr>
        <w:t>5.成交服务商应向采购人提交项目实施过程中的所有资料，以便采购人日后管理和维护。</w:t>
      </w:r>
      <w:r>
        <w:rPr>
          <w:rFonts w:hint="eastAsia" w:hAnsi="宋体" w:cs="宋体"/>
          <w:b/>
          <w:szCs w:val="21"/>
          <w:highlight w:val="none"/>
        </w:rPr>
        <w:t>八、违约责任</w:t>
      </w:r>
      <w:bookmarkEnd w:id="42"/>
      <w:bookmarkEnd w:id="43"/>
      <w:bookmarkEnd w:id="44"/>
    </w:p>
    <w:p w14:paraId="50CFF01C">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1、按《中华人民共和国民法典》中的相关条款执行。</w:t>
      </w:r>
    </w:p>
    <w:p w14:paraId="15C836DC">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p w14:paraId="669A16DF">
      <w:pPr>
        <w:tabs>
          <w:tab w:val="left" w:pos="480"/>
        </w:tabs>
        <w:spacing w:line="360" w:lineRule="auto"/>
        <w:outlineLvl w:val="1"/>
        <w:rPr>
          <w:rFonts w:hAnsi="宋体" w:cs="宋体"/>
          <w:b/>
          <w:szCs w:val="21"/>
          <w:highlight w:val="none"/>
        </w:rPr>
      </w:pPr>
      <w:bookmarkStart w:id="45" w:name="_Toc27523"/>
      <w:bookmarkStart w:id="46" w:name="_Toc15856"/>
      <w:bookmarkStart w:id="47" w:name="_Toc13662"/>
      <w:r>
        <w:rPr>
          <w:rFonts w:hint="eastAsia" w:hAnsi="宋体" w:cs="宋体"/>
          <w:b/>
          <w:szCs w:val="21"/>
          <w:highlight w:val="none"/>
        </w:rPr>
        <w:t>九、合同争议解决的方式</w:t>
      </w:r>
      <w:bookmarkEnd w:id="45"/>
      <w:bookmarkEnd w:id="46"/>
      <w:bookmarkEnd w:id="47"/>
    </w:p>
    <w:p w14:paraId="29D993C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本合同在履行过程中发生的争议，由甲、乙双方当事人协商解决，协商不成的按下列第种方式解决：</w:t>
      </w:r>
    </w:p>
    <w:p w14:paraId="3620C029">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（一）提交仲裁委员会仲裁；</w:t>
      </w:r>
    </w:p>
    <w:p w14:paraId="4FF1F8FF">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（二）依法向 所在地人民法院起诉。</w:t>
      </w:r>
    </w:p>
    <w:p w14:paraId="1506CBEB">
      <w:pPr>
        <w:tabs>
          <w:tab w:val="left" w:pos="480"/>
        </w:tabs>
        <w:spacing w:line="360" w:lineRule="auto"/>
        <w:outlineLvl w:val="1"/>
        <w:rPr>
          <w:rFonts w:hAnsi="宋体" w:cs="宋体"/>
          <w:b/>
          <w:szCs w:val="21"/>
          <w:highlight w:val="none"/>
        </w:rPr>
      </w:pPr>
      <w:bookmarkStart w:id="48" w:name="_Toc18389"/>
      <w:bookmarkStart w:id="49" w:name="_Toc7342"/>
      <w:bookmarkStart w:id="50" w:name="_Toc2858"/>
      <w:r>
        <w:rPr>
          <w:rFonts w:hint="eastAsia" w:hAnsi="宋体" w:cs="宋体"/>
          <w:b/>
          <w:szCs w:val="21"/>
          <w:highlight w:val="none"/>
        </w:rPr>
        <w:t>十、合同生效</w:t>
      </w:r>
      <w:bookmarkEnd w:id="48"/>
      <w:bookmarkEnd w:id="49"/>
      <w:bookmarkEnd w:id="50"/>
    </w:p>
    <w:p w14:paraId="20F6497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本合同一式份，甲方执份，乙方执份，本合同甲、乙、确认各方签字盖章后生效，合同执行完毕后，自动失效（合同的服务承诺则长期有效）。</w:t>
      </w:r>
    </w:p>
    <w:p w14:paraId="77E377A0">
      <w:pPr>
        <w:tabs>
          <w:tab w:val="left" w:pos="480"/>
        </w:tabs>
        <w:spacing w:line="360" w:lineRule="auto"/>
        <w:outlineLvl w:val="1"/>
        <w:rPr>
          <w:rFonts w:hAnsi="宋体" w:cs="宋体"/>
          <w:b/>
          <w:szCs w:val="21"/>
          <w:highlight w:val="none"/>
        </w:rPr>
      </w:pPr>
      <w:bookmarkStart w:id="51" w:name="_Toc18381"/>
      <w:bookmarkStart w:id="52" w:name="_Toc823"/>
      <w:bookmarkStart w:id="53" w:name="_Toc18225"/>
      <w:r>
        <w:rPr>
          <w:rFonts w:hint="eastAsia" w:hAnsi="宋体" w:cs="宋体"/>
          <w:b/>
          <w:szCs w:val="21"/>
          <w:highlight w:val="none"/>
        </w:rPr>
        <w:t>十一、其他事项</w:t>
      </w:r>
      <w:bookmarkEnd w:id="51"/>
      <w:bookmarkEnd w:id="52"/>
      <w:bookmarkEnd w:id="53"/>
    </w:p>
    <w:p w14:paraId="48EB199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（一）竞争性磋商文件、</w:t>
      </w:r>
      <w:r>
        <w:rPr>
          <w:rFonts w:hint="eastAsia" w:hAnsi="宋体" w:cs="宋体"/>
          <w:szCs w:val="21"/>
          <w:highlight w:val="none"/>
          <w:lang w:eastAsia="zh-CN"/>
        </w:rPr>
        <w:t>投标文件</w:t>
      </w:r>
      <w:r>
        <w:rPr>
          <w:rFonts w:hint="eastAsia" w:hAnsi="宋体" w:cs="宋体"/>
          <w:szCs w:val="21"/>
          <w:highlight w:val="none"/>
        </w:rPr>
        <w:t>、澄清表（函）、成交通知书、合同附件均成为合同不可分割的部分。</w:t>
      </w:r>
    </w:p>
    <w:p w14:paraId="7C888115">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0708D1CF">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76205725">
      <w:pPr>
        <w:spacing w:line="360" w:lineRule="auto"/>
        <w:ind w:firstLine="420"/>
        <w:rPr>
          <w:szCs w:val="24"/>
          <w:highlight w:val="none"/>
        </w:rPr>
      </w:pPr>
      <w:r>
        <w:rPr>
          <w:rFonts w:hint="eastAsia" w:hAnsi="宋体"/>
          <w:szCs w:val="24"/>
          <w:highlight w:val="none"/>
        </w:rPr>
        <w:t>（四）执行本合同过程中发生争议，由当事人双方协商解决。协商不成，可向采购方所在地人民法院提起诉讼。</w:t>
      </w:r>
    </w:p>
    <w:p w14:paraId="385B34B3">
      <w:pPr>
        <w:spacing w:line="360" w:lineRule="auto"/>
        <w:ind w:firstLine="420"/>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73C7A62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14:paraId="6B9CFF1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甲  方：（盖章）                          乙  方：（盖章）</w:t>
      </w:r>
    </w:p>
    <w:p w14:paraId="0066905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单位名称：                                单位名称：</w:t>
      </w:r>
    </w:p>
    <w:p w14:paraId="24E363E2">
      <w:pPr>
        <w:tabs>
          <w:tab w:val="left" w:pos="480"/>
        </w:tabs>
        <w:spacing w:line="360" w:lineRule="auto"/>
        <w:ind w:left="6720" w:leftChars="200" w:hanging="6240" w:hangingChars="2600"/>
        <w:rPr>
          <w:rFonts w:hAnsi="宋体" w:cs="宋体"/>
          <w:szCs w:val="21"/>
          <w:highlight w:val="none"/>
        </w:rPr>
      </w:pPr>
      <w:r>
        <w:rPr>
          <w:rFonts w:hint="eastAsia" w:hAnsi="宋体" w:cs="宋体"/>
          <w:szCs w:val="21"/>
          <w:highlight w:val="none"/>
        </w:rPr>
        <w:t>地  址：                                  地  址：</w:t>
      </w:r>
    </w:p>
    <w:p w14:paraId="6417ECA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法定代表人                                法定代表人</w:t>
      </w:r>
    </w:p>
    <w:p w14:paraId="739B445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或委托代理人：                            或委托代理人：</w:t>
      </w:r>
    </w:p>
    <w:p w14:paraId="2A633891">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                                          开户银行：</w:t>
      </w:r>
    </w:p>
    <w:p w14:paraId="6C58B405">
      <w:pPr>
        <w:tabs>
          <w:tab w:val="left" w:pos="480"/>
        </w:tabs>
        <w:spacing w:line="360" w:lineRule="auto"/>
        <w:ind w:firstLine="5520" w:firstLineChars="2300"/>
        <w:rPr>
          <w:rFonts w:hAnsi="宋体" w:cs="宋体"/>
          <w:szCs w:val="21"/>
          <w:highlight w:val="none"/>
        </w:rPr>
      </w:pPr>
      <w:r>
        <w:rPr>
          <w:rFonts w:hint="eastAsia" w:hAnsi="宋体" w:cs="宋体"/>
          <w:szCs w:val="21"/>
          <w:highlight w:val="none"/>
        </w:rPr>
        <w:t xml:space="preserve">账  号：       </w:t>
      </w:r>
    </w:p>
    <w:p w14:paraId="1C376A82">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联系电话：                                联系电话：</w:t>
      </w:r>
    </w:p>
    <w:p w14:paraId="64685259">
      <w:pPr>
        <w:tabs>
          <w:tab w:val="left" w:pos="480"/>
        </w:tabs>
        <w:spacing w:line="360" w:lineRule="auto"/>
        <w:ind w:firstLine="480" w:firstLineChars="200"/>
        <w:rPr>
          <w:highlight w:val="none"/>
        </w:rPr>
        <w:sectPr>
          <w:footerReference r:id="rId3" w:type="default"/>
          <w:pgSz w:w="11906" w:h="16838"/>
          <w:pgMar w:top="1417" w:right="1134" w:bottom="1417" w:left="1417" w:header="1134" w:footer="992" w:gutter="0"/>
          <w:cols w:space="720" w:num="1"/>
          <w:docGrid w:type="lines" w:linePitch="333" w:charSpace="0"/>
        </w:sectPr>
      </w:pPr>
      <w:r>
        <w:rPr>
          <w:rFonts w:hint="eastAsia" w:hAnsi="宋体" w:cs="宋体"/>
          <w:szCs w:val="21"/>
          <w:highlight w:val="none"/>
        </w:rPr>
        <w:t>签订日期：     年    月      日           签订日期：     年    月   日</w:t>
      </w:r>
    </w:p>
    <w:bookmarkEnd w:id="9"/>
    <w:bookmarkEnd w:id="10"/>
    <w:bookmarkEnd w:id="11"/>
    <w:bookmarkEnd w:id="12"/>
    <w:bookmarkEnd w:id="13"/>
    <w:bookmarkEnd w:id="14"/>
    <w:bookmarkEnd w:id="15"/>
    <w:bookmarkEnd w:id="16"/>
    <w:bookmarkEnd w:id="17"/>
    <w:bookmarkEnd w:id="18"/>
    <w:bookmarkEnd w:id="19"/>
    <w:bookmarkEnd w:id="20"/>
    <w:p w14:paraId="24A41A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2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92496">
    <w:pPr>
      <w:tabs>
        <w:tab w:val="left" w:pos="5646"/>
      </w:tabs>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posOffset>2912745</wp:posOffset>
              </wp:positionH>
              <wp:positionV relativeFrom="paragraph">
                <wp:posOffset>0</wp:posOffset>
              </wp:positionV>
              <wp:extent cx="28892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88925" cy="1828800"/>
                      </a:xfrm>
                      <a:prstGeom prst="rect">
                        <a:avLst/>
                      </a:prstGeom>
                      <a:noFill/>
                      <a:ln>
                        <a:noFill/>
                      </a:ln>
                    </wps:spPr>
                    <wps:txbx>
                      <w:txbxContent>
                        <w:p w14:paraId="382E38FB">
                          <w:pPr>
                            <w:pStyle w:val="6"/>
                          </w:pPr>
                          <w:r>
                            <w:fldChar w:fldCharType="begin"/>
                          </w:r>
                          <w:r>
                            <w:instrText xml:space="preserve"> PAGE  \* MERGEFORMAT </w:instrText>
                          </w:r>
                          <w:r>
                            <w:fldChar w:fldCharType="separate"/>
                          </w:r>
                          <w:r>
                            <w:t>40</w:t>
                          </w:r>
                          <w:r>
                            <w:fldChar w:fldCharType="end"/>
                          </w:r>
                        </w:p>
                      </w:txbxContent>
                    </wps:txbx>
                    <wps:bodyPr lIns="0" tIns="0" rIns="0" bIns="0" upright="0">
                      <a:spAutoFit/>
                    </wps:bodyPr>
                  </wps:wsp>
                </a:graphicData>
              </a:graphic>
            </wp:anchor>
          </w:drawing>
        </mc:Choice>
        <mc:Fallback>
          <w:pict>
            <v:shape id="_x0000_s1026" o:spid="_x0000_s1026" o:spt="202" type="#_x0000_t202" style="position:absolute;left:0pt;margin-left:229.35pt;margin-top:0pt;height:144pt;width:22.75pt;mso-position-horizontal-relative:margin;z-index:251659264;mso-width-relative:page;mso-height-relative:page;" filled="f" stroked="f" coordsize="21600,21600" o:gfxdata="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PSIHUTWAAAACAEAAA8AAAAAAAAAAQAgAAAAIgAAAGRycy9kb3ducmV2&#10;LnhtbFBLAQIUABQAAAAIAIdO4kAfinPtxQEAAIwDAAAOAAAAAAAAAAEAIAAAACUBAABkcnMvZTJv&#10;RG9jLnhtbFBLBQYAAAAABgAGAFkBAABcBQAAAAA=&#10;">
              <v:fill on="f" focussize="0,0"/>
              <v:stroke on="f"/>
              <v:imagedata o:title=""/>
              <o:lock v:ext="edit" aspectratio="f"/>
              <v:textbox inset="0mm,0mm,0mm,0mm" style="mso-fit-shape-to-text:t;">
                <w:txbxContent>
                  <w:p w14:paraId="382E38FB">
                    <w:pPr>
                      <w:pStyle w:val="6"/>
                    </w:pPr>
                    <w:r>
                      <w:fldChar w:fldCharType="begin"/>
                    </w:r>
                    <w:r>
                      <w:instrText xml:space="preserve"> PAGE  \* MERGEFORMAT </w:instrText>
                    </w:r>
                    <w:r>
                      <w:fldChar w:fldCharType="separate"/>
                    </w:r>
                    <w:r>
                      <w:t>40</w:t>
                    </w:r>
                    <w:r>
                      <w:fldChar w:fldCharType="end"/>
                    </w:r>
                  </w:p>
                </w:txbxContent>
              </v:textbox>
            </v:shape>
          </w:pict>
        </mc:Fallback>
      </mc:AlternateContent>
    </w:r>
    <w:r>
      <w:rPr>
        <w:rFonts w:hint="eastAsia"/>
        <w:sz w:val="18"/>
        <w:szCs w:val="1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4438E6"/>
    <w:rsid w:val="398059C3"/>
    <w:rsid w:val="56443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3623</Words>
  <Characters>3707</Characters>
  <Lines>0</Lines>
  <Paragraphs>0</Paragraphs>
  <TotalTime>1</TotalTime>
  <ScaleCrop>false</ScaleCrop>
  <LinksUpToDate>false</LinksUpToDate>
  <CharactersWithSpaces>4059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2025-03-19T02:08:00Z</dcterms:created>
  <dc:creator>晓 </dc:creator>
  <cp:lastModifiedBy>晓 </cp:lastModifiedBy>
  <dcterms:modified xsi:type="dcterms:W3CDTF">2025-03-19T07:07:18Z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74B2CE0CBE75421D874DD36073B248C6_11</vt:lpwstr>
  </property>
  <property fmtid="{D5CDD505-2E9C-101B-9397-08002B2CF9AE}" pid="4" name="KSOTemplateDocerSaveRecord">
    <vt:lpwstr>eyJoZGlkIjoiMzk2MTljMjQ2ZmM1YTViMzFmYmJjNDI2MjcxMWZiNWYiLCJ1c2VySWQiOiI2NzQ5OTQ4MDEifQ==</vt:lpwstr>
  </property>
</Properties>
</file>