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4815">
      <w:pPr>
        <w:pStyle w:val="11"/>
        <w:jc w:val="center"/>
        <w:outlineLvl w:val="1"/>
      </w:pPr>
      <w:r>
        <w:rPr>
          <w:b/>
          <w:sz w:val="36"/>
        </w:rPr>
        <w:t xml:space="preserve"> </w:t>
      </w:r>
    </w:p>
    <w:p w14:paraId="46971EF5">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陕西中医药大学附属医院</w:t>
      </w:r>
    </w:p>
    <w:p w14:paraId="08CB8B93">
      <w:pPr>
        <w:jc w:val="center"/>
        <w:rPr>
          <w:rFonts w:ascii="宋体" w:hAnsi="宋体" w:cs="宋体"/>
          <w:b/>
          <w:bCs/>
          <w:sz w:val="48"/>
          <w:szCs w:val="44"/>
          <w:lang w:val="zh-CN"/>
        </w:rPr>
      </w:pPr>
      <w:r>
        <w:rPr>
          <w:rFonts w:hint="eastAsia" w:ascii="宋体" w:hAnsi="宋体" w:cs="宋体"/>
          <w:b/>
          <w:bCs/>
          <w:sz w:val="48"/>
          <w:szCs w:val="44"/>
          <w:lang w:val="zh-CN"/>
        </w:rPr>
        <w:t>电子办公耗材采购项目</w:t>
      </w:r>
    </w:p>
    <w:p w14:paraId="40807862">
      <w:pPr>
        <w:spacing w:line="360" w:lineRule="auto"/>
        <w:ind w:firstLine="1084" w:firstLineChars="300"/>
        <w:jc w:val="center"/>
        <w:rPr>
          <w:rFonts w:ascii="仿宋" w:hAnsi="仿宋" w:eastAsia="仿宋" w:cs="仿宋"/>
          <w:b/>
          <w:bCs/>
          <w:sz w:val="36"/>
          <w:szCs w:val="36"/>
        </w:rPr>
      </w:pPr>
    </w:p>
    <w:p w14:paraId="23640403">
      <w:pPr>
        <w:tabs>
          <w:tab w:val="left" w:pos="5670"/>
        </w:tabs>
        <w:autoSpaceDE w:val="0"/>
        <w:autoSpaceDN w:val="0"/>
        <w:adjustRightInd w:val="0"/>
        <w:spacing w:line="360" w:lineRule="auto"/>
        <w:jc w:val="center"/>
        <w:rPr>
          <w:rFonts w:ascii="宋体" w:hAnsi="宋体" w:cs="宋体"/>
          <w:b/>
          <w:bCs/>
          <w:sz w:val="48"/>
          <w:szCs w:val="44"/>
          <w:lang w:val="zh-CN"/>
        </w:rPr>
      </w:pPr>
    </w:p>
    <w:p w14:paraId="5F11B562">
      <w:pPr>
        <w:tabs>
          <w:tab w:val="left" w:pos="5670"/>
        </w:tabs>
        <w:autoSpaceDE w:val="0"/>
        <w:autoSpaceDN w:val="0"/>
        <w:adjustRightInd w:val="0"/>
        <w:spacing w:line="360" w:lineRule="auto"/>
        <w:jc w:val="center"/>
        <w:rPr>
          <w:rFonts w:ascii="宋体" w:hAnsi="宋体" w:cs="宋体"/>
          <w:b/>
          <w:bCs/>
          <w:sz w:val="48"/>
          <w:szCs w:val="44"/>
          <w:lang w:val="zh-CN"/>
        </w:rPr>
      </w:pPr>
    </w:p>
    <w:p w14:paraId="6B733E0A">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采购合同</w:t>
      </w:r>
    </w:p>
    <w:p w14:paraId="4E235E47">
      <w:pPr>
        <w:spacing w:line="360" w:lineRule="auto"/>
        <w:ind w:firstLine="720" w:firstLineChars="300"/>
        <w:rPr>
          <w:rFonts w:ascii="仿宋" w:hAnsi="仿宋" w:eastAsia="仿宋" w:cs="仿宋"/>
          <w:sz w:val="24"/>
        </w:rPr>
      </w:pPr>
    </w:p>
    <w:p w14:paraId="24F39343">
      <w:pPr>
        <w:spacing w:line="360" w:lineRule="auto"/>
        <w:ind w:firstLine="720" w:firstLineChars="300"/>
        <w:rPr>
          <w:rFonts w:ascii="仿宋" w:hAnsi="仿宋" w:eastAsia="仿宋" w:cs="仿宋"/>
          <w:sz w:val="24"/>
        </w:rPr>
      </w:pPr>
    </w:p>
    <w:p w14:paraId="7DA24680">
      <w:pPr>
        <w:spacing w:line="360" w:lineRule="auto"/>
        <w:ind w:firstLine="720" w:firstLineChars="300"/>
        <w:rPr>
          <w:rFonts w:ascii="仿宋" w:hAnsi="仿宋" w:eastAsia="仿宋" w:cs="仿宋"/>
          <w:sz w:val="24"/>
        </w:rPr>
      </w:pPr>
    </w:p>
    <w:p w14:paraId="7664025B">
      <w:pPr>
        <w:spacing w:line="360" w:lineRule="auto"/>
        <w:ind w:firstLine="720" w:firstLineChars="300"/>
        <w:rPr>
          <w:rFonts w:ascii="仿宋" w:hAnsi="仿宋" w:eastAsia="仿宋" w:cs="仿宋"/>
          <w:sz w:val="24"/>
        </w:rPr>
      </w:pPr>
    </w:p>
    <w:p w14:paraId="0F012B6E">
      <w:pPr>
        <w:spacing w:line="360" w:lineRule="auto"/>
        <w:ind w:firstLine="720" w:firstLineChars="300"/>
        <w:rPr>
          <w:rFonts w:ascii="仿宋" w:hAnsi="仿宋" w:eastAsia="仿宋" w:cs="仿宋"/>
          <w:sz w:val="24"/>
        </w:rPr>
      </w:pPr>
    </w:p>
    <w:p w14:paraId="48328E9E">
      <w:pPr>
        <w:spacing w:line="360" w:lineRule="auto"/>
        <w:ind w:firstLine="720" w:firstLineChars="300"/>
        <w:rPr>
          <w:rFonts w:ascii="仿宋" w:hAnsi="仿宋" w:eastAsia="仿宋" w:cs="仿宋"/>
          <w:sz w:val="24"/>
        </w:rPr>
      </w:pPr>
    </w:p>
    <w:p w14:paraId="7706A22E">
      <w:pPr>
        <w:spacing w:line="360" w:lineRule="auto"/>
        <w:ind w:firstLine="720" w:firstLineChars="300"/>
        <w:rPr>
          <w:rFonts w:ascii="仿宋" w:hAnsi="仿宋" w:eastAsia="仿宋" w:cs="仿宋"/>
          <w:sz w:val="24"/>
        </w:rPr>
      </w:pPr>
    </w:p>
    <w:p w14:paraId="5352AF85">
      <w:pPr>
        <w:spacing w:line="360" w:lineRule="auto"/>
        <w:ind w:firstLine="720" w:firstLineChars="300"/>
        <w:rPr>
          <w:rFonts w:hint="eastAsia" w:ascii="宋体" w:hAnsi="宋体" w:eastAsia="宋体" w:cs="宋体"/>
          <w:sz w:val="24"/>
        </w:rPr>
      </w:pPr>
    </w:p>
    <w:p w14:paraId="7E348684">
      <w:pPr>
        <w:spacing w:line="360" w:lineRule="auto"/>
        <w:ind w:firstLine="720" w:firstLineChars="300"/>
        <w:rPr>
          <w:rFonts w:hint="eastAsia" w:ascii="宋体" w:hAnsi="宋体" w:eastAsia="宋体" w:cs="宋体"/>
          <w:sz w:val="24"/>
        </w:rPr>
      </w:pPr>
      <w:r>
        <w:rPr>
          <w:rFonts w:hint="eastAsia" w:ascii="宋体" w:hAnsi="宋体" w:eastAsia="宋体" w:cs="宋体"/>
          <w:sz w:val="24"/>
        </w:rPr>
        <w:t xml:space="preserve">         甲     方：陕西中医药大学附属医院</w:t>
      </w:r>
    </w:p>
    <w:p w14:paraId="6F207C54">
      <w:pPr>
        <w:spacing w:line="360" w:lineRule="auto"/>
        <w:ind w:firstLine="720" w:firstLineChars="300"/>
        <w:rPr>
          <w:rFonts w:hint="eastAsia" w:ascii="宋体" w:hAnsi="宋体" w:eastAsia="宋体" w:cs="宋体"/>
          <w:sz w:val="24"/>
        </w:rPr>
      </w:pPr>
      <w:r>
        <w:rPr>
          <w:rFonts w:hint="eastAsia" w:ascii="宋体" w:hAnsi="宋体" w:eastAsia="宋体" w:cs="宋体"/>
          <w:sz w:val="24"/>
        </w:rPr>
        <w:t xml:space="preserve">         乙     方：</w:t>
      </w:r>
    </w:p>
    <w:p w14:paraId="3B2114C9">
      <w:pPr>
        <w:spacing w:line="360" w:lineRule="auto"/>
        <w:ind w:firstLine="720" w:firstLineChars="300"/>
        <w:rPr>
          <w:rFonts w:hint="eastAsia" w:ascii="宋体" w:hAnsi="宋体" w:eastAsia="宋体" w:cs="宋体"/>
          <w:sz w:val="24"/>
        </w:rPr>
      </w:pPr>
      <w:r>
        <w:rPr>
          <w:rFonts w:hint="eastAsia" w:ascii="宋体" w:hAnsi="宋体" w:eastAsia="宋体" w:cs="宋体"/>
          <w:sz w:val="24"/>
        </w:rPr>
        <w:t xml:space="preserve">         签约日期：      年     月   </w:t>
      </w:r>
    </w:p>
    <w:p w14:paraId="5A504F61">
      <w:pPr>
        <w:pStyle w:val="8"/>
        <w:spacing w:line="360" w:lineRule="auto"/>
        <w:rPr>
          <w:rFonts w:hint="eastAsia" w:ascii="宋体" w:hAnsi="宋体" w:eastAsia="宋体" w:cs="宋体"/>
        </w:rPr>
      </w:pPr>
    </w:p>
    <w:p w14:paraId="44EC3FFB">
      <w:pPr>
        <w:rPr>
          <w:rFonts w:hint="eastAsia" w:ascii="宋体" w:hAnsi="宋体" w:eastAsia="宋体" w:cs="宋体"/>
        </w:rPr>
      </w:pPr>
    </w:p>
    <w:p w14:paraId="1190D6A1">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br w:type="page"/>
      </w:r>
      <w:r>
        <w:rPr>
          <w:rFonts w:hint="eastAsia" w:ascii="宋体" w:hAnsi="宋体" w:eastAsia="宋体" w:cs="宋体"/>
          <w:b/>
          <w:bCs/>
          <w:sz w:val="32"/>
          <w:szCs w:val="32"/>
        </w:rPr>
        <w:t>项目合同</w:t>
      </w:r>
    </w:p>
    <w:p w14:paraId="2250F8F7">
      <w:pPr>
        <w:spacing w:line="400" w:lineRule="exact"/>
        <w:ind w:right="-298"/>
        <w:jc w:val="center"/>
        <w:rPr>
          <w:rFonts w:hint="eastAsia" w:ascii="宋体" w:hAnsi="宋体" w:eastAsia="宋体" w:cs="宋体"/>
          <w:sz w:val="24"/>
        </w:rPr>
      </w:pPr>
      <w:r>
        <w:rPr>
          <w:rFonts w:hint="eastAsia" w:ascii="宋体" w:hAnsi="宋体" w:eastAsia="宋体" w:cs="宋体"/>
          <w:sz w:val="24"/>
        </w:rPr>
        <w:t xml:space="preserve">        </w:t>
      </w:r>
    </w:p>
    <w:p w14:paraId="73D632FC">
      <w:pPr>
        <w:spacing w:line="360" w:lineRule="auto"/>
        <w:rPr>
          <w:rFonts w:hint="eastAsia" w:ascii="宋体" w:hAnsi="宋体" w:eastAsia="宋体" w:cs="宋体"/>
          <w:sz w:val="24"/>
        </w:rPr>
      </w:pPr>
      <w:r>
        <w:rPr>
          <w:rFonts w:hint="eastAsia" w:ascii="宋体" w:hAnsi="宋体" w:eastAsia="宋体" w:cs="宋体"/>
          <w:sz w:val="24"/>
        </w:rPr>
        <w:t>甲方（需方）：陕西中医药大学附属医院</w:t>
      </w:r>
    </w:p>
    <w:p w14:paraId="2B180CD7">
      <w:pPr>
        <w:spacing w:line="360" w:lineRule="auto"/>
        <w:rPr>
          <w:rFonts w:hint="eastAsia" w:ascii="宋体" w:hAnsi="宋体" w:eastAsia="宋体" w:cs="宋体"/>
          <w:sz w:val="24"/>
          <w:lang w:val="zh-CN"/>
        </w:rPr>
      </w:pPr>
      <w:r>
        <w:rPr>
          <w:rFonts w:hint="eastAsia" w:ascii="宋体" w:hAnsi="宋体" w:eastAsia="宋体" w:cs="宋体"/>
          <w:sz w:val="24"/>
        </w:rPr>
        <w:t>乙方（供方）：</w:t>
      </w:r>
      <w:r>
        <w:rPr>
          <w:rFonts w:hint="eastAsia" w:ascii="宋体" w:hAnsi="宋体" w:eastAsia="宋体" w:cs="宋体"/>
          <w:sz w:val="24"/>
          <w:lang w:val="zh-CN"/>
        </w:rPr>
        <w:t xml:space="preserve"> </w:t>
      </w:r>
    </w:p>
    <w:p w14:paraId="130C1BE0">
      <w:pPr>
        <w:spacing w:line="360" w:lineRule="auto"/>
        <w:ind w:firstLine="720" w:firstLineChars="300"/>
        <w:rPr>
          <w:rFonts w:hint="eastAsia" w:ascii="宋体" w:hAnsi="宋体" w:eastAsia="宋体" w:cs="宋体"/>
          <w:sz w:val="24"/>
        </w:rPr>
      </w:pPr>
      <w:r>
        <w:rPr>
          <w:rFonts w:hint="eastAsia" w:ascii="宋体" w:hAnsi="宋体" w:eastAsia="宋体" w:cs="宋体"/>
          <w:sz w:val="24"/>
        </w:rPr>
        <w:t>甲、乙双方基于公平、公正、平等的原则，依据《中华人民共和国民法典》之相关规定，现经甲、乙双方友好协商，就</w:t>
      </w:r>
      <w:r>
        <w:rPr>
          <w:rFonts w:hint="eastAsia" w:ascii="宋体" w:hAnsi="宋体" w:eastAsia="宋体" w:cs="宋体"/>
          <w:sz w:val="24"/>
          <w:u w:val="single"/>
        </w:rPr>
        <w:t>陕西中医药大学附属医院电子办公耗材采购项目</w:t>
      </w:r>
      <w:r>
        <w:rPr>
          <w:rFonts w:hint="eastAsia" w:ascii="宋体" w:hAnsi="宋体" w:eastAsia="宋体" w:cs="宋体"/>
          <w:sz w:val="24"/>
        </w:rPr>
        <w:t>达成以下合同条款：</w:t>
      </w:r>
    </w:p>
    <w:p w14:paraId="71C8EAE3">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第一条：产品清单</w:t>
      </w:r>
    </w:p>
    <w:p w14:paraId="34920E72">
      <w:pPr>
        <w:spacing w:line="360" w:lineRule="auto"/>
        <w:ind w:firstLine="480" w:firstLineChars="200"/>
        <w:rPr>
          <w:rFonts w:hint="eastAsia" w:ascii="宋体" w:hAnsi="宋体" w:eastAsia="宋体" w:cs="宋体"/>
          <w:sz w:val="24"/>
        </w:rPr>
      </w:pPr>
      <w:r>
        <w:rPr>
          <w:rFonts w:hint="eastAsia" w:ascii="宋体" w:hAnsi="宋体" w:eastAsia="宋体" w:cs="宋体"/>
          <w:sz w:val="24"/>
        </w:rPr>
        <w:t>乙方按如下清单向甲方提供货物：</w:t>
      </w:r>
    </w:p>
    <w:p w14:paraId="11812F95">
      <w:pPr>
        <w:spacing w:line="400" w:lineRule="exact"/>
        <w:rPr>
          <w:rFonts w:hint="eastAsia" w:ascii="宋体" w:hAnsi="宋体" w:eastAsia="宋体" w:cs="宋体"/>
          <w:szCs w:val="21"/>
        </w:rPr>
      </w:pPr>
      <w:r>
        <w:rPr>
          <w:rFonts w:hint="eastAsia" w:ascii="宋体" w:hAnsi="宋体" w:eastAsia="宋体" w:cs="宋体"/>
          <w:szCs w:val="21"/>
        </w:rPr>
        <w:t>单位：人民币元</w:t>
      </w:r>
    </w:p>
    <w:tbl>
      <w:tblPr>
        <w:tblStyle w:val="9"/>
        <w:tblW w:w="0" w:type="auto"/>
        <w:tblInd w:w="0" w:type="dxa"/>
        <w:tblLayout w:type="fixed"/>
        <w:tblCellMar>
          <w:top w:w="0" w:type="dxa"/>
          <w:left w:w="15" w:type="dxa"/>
          <w:bottom w:w="0" w:type="dxa"/>
          <w:right w:w="15" w:type="dxa"/>
        </w:tblCellMar>
      </w:tblPr>
      <w:tblGrid>
        <w:gridCol w:w="748"/>
        <w:gridCol w:w="1562"/>
        <w:gridCol w:w="1937"/>
        <w:gridCol w:w="1469"/>
        <w:gridCol w:w="1002"/>
        <w:gridCol w:w="1617"/>
      </w:tblGrid>
      <w:tr w14:paraId="6C049853">
        <w:tblPrEx>
          <w:tblCellMar>
            <w:top w:w="0" w:type="dxa"/>
            <w:left w:w="15" w:type="dxa"/>
            <w:bottom w:w="0" w:type="dxa"/>
            <w:right w:w="15" w:type="dxa"/>
          </w:tblCellMar>
        </w:tblPrEx>
        <w:trPr>
          <w:trHeight w:val="285" w:hRule="atLeast"/>
        </w:trPr>
        <w:tc>
          <w:tcPr>
            <w:tcW w:w="748" w:type="dxa"/>
            <w:tcBorders>
              <w:top w:val="single" w:color="000000" w:sz="8" w:space="0"/>
              <w:left w:val="single" w:color="000000" w:sz="8" w:space="0"/>
              <w:bottom w:val="single" w:color="000000" w:sz="4" w:space="0"/>
              <w:right w:val="single" w:color="000000" w:sz="4" w:space="0"/>
            </w:tcBorders>
            <w:vAlign w:val="center"/>
          </w:tcPr>
          <w:p w14:paraId="02D51E32">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序号</w:t>
            </w:r>
          </w:p>
        </w:tc>
        <w:tc>
          <w:tcPr>
            <w:tcW w:w="1562" w:type="dxa"/>
            <w:tcBorders>
              <w:top w:val="single" w:color="000000" w:sz="8" w:space="0"/>
              <w:left w:val="single" w:color="000000" w:sz="4" w:space="0"/>
              <w:bottom w:val="single" w:color="000000" w:sz="4" w:space="0"/>
              <w:right w:val="single" w:color="000000" w:sz="4" w:space="0"/>
            </w:tcBorders>
            <w:vAlign w:val="center"/>
          </w:tcPr>
          <w:p w14:paraId="5F4E5EFD">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产品名称</w:t>
            </w:r>
          </w:p>
        </w:tc>
        <w:tc>
          <w:tcPr>
            <w:tcW w:w="1937" w:type="dxa"/>
            <w:tcBorders>
              <w:top w:val="single" w:color="000000" w:sz="8" w:space="0"/>
              <w:left w:val="single" w:color="000000" w:sz="4" w:space="0"/>
              <w:bottom w:val="single" w:color="000000" w:sz="4" w:space="0"/>
              <w:right w:val="single" w:color="000000" w:sz="4" w:space="0"/>
            </w:tcBorders>
            <w:vAlign w:val="center"/>
          </w:tcPr>
          <w:p w14:paraId="0AFD0F0F">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品牌</w:t>
            </w:r>
          </w:p>
        </w:tc>
        <w:tc>
          <w:tcPr>
            <w:tcW w:w="1469" w:type="dxa"/>
            <w:tcBorders>
              <w:top w:val="single" w:color="000000" w:sz="8" w:space="0"/>
              <w:left w:val="single" w:color="000000" w:sz="4" w:space="0"/>
              <w:bottom w:val="single" w:color="000000" w:sz="4" w:space="0"/>
              <w:right w:val="single" w:color="000000" w:sz="4" w:space="0"/>
            </w:tcBorders>
            <w:vAlign w:val="center"/>
          </w:tcPr>
          <w:p w14:paraId="2D7697B1">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规格型号</w:t>
            </w:r>
          </w:p>
        </w:tc>
        <w:tc>
          <w:tcPr>
            <w:tcW w:w="1002" w:type="dxa"/>
            <w:tcBorders>
              <w:top w:val="single" w:color="000000" w:sz="8" w:space="0"/>
              <w:left w:val="single" w:color="000000" w:sz="4" w:space="0"/>
              <w:bottom w:val="single" w:color="000000" w:sz="4" w:space="0"/>
              <w:right w:val="single" w:color="000000" w:sz="4" w:space="0"/>
            </w:tcBorders>
            <w:vAlign w:val="center"/>
          </w:tcPr>
          <w:p w14:paraId="11445729">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数量</w:t>
            </w:r>
          </w:p>
        </w:tc>
        <w:tc>
          <w:tcPr>
            <w:tcW w:w="1617" w:type="dxa"/>
            <w:tcBorders>
              <w:top w:val="single" w:color="000000" w:sz="8" w:space="0"/>
              <w:left w:val="single" w:color="000000" w:sz="4" w:space="0"/>
              <w:bottom w:val="single" w:color="000000" w:sz="4" w:space="0"/>
              <w:right w:val="single" w:color="000000" w:sz="8" w:space="0"/>
            </w:tcBorders>
            <w:vAlign w:val="center"/>
          </w:tcPr>
          <w:p w14:paraId="16EED70F">
            <w:pPr>
              <w:autoSpaceDN w:val="0"/>
              <w:jc w:val="center"/>
              <w:textAlignment w:val="center"/>
              <w:rPr>
                <w:rFonts w:hint="eastAsia" w:ascii="宋体" w:hAnsi="宋体" w:eastAsia="宋体" w:cs="宋体"/>
                <w:b/>
                <w:color w:val="000000"/>
                <w:highlight w:val="none"/>
              </w:rPr>
            </w:pPr>
            <w:r>
              <w:rPr>
                <w:rFonts w:hint="eastAsia" w:ascii="宋体" w:hAnsi="宋体" w:eastAsia="宋体" w:cs="宋体"/>
                <w:b/>
                <w:color w:val="000000"/>
                <w:highlight w:val="none"/>
              </w:rPr>
              <w:t>单价</w:t>
            </w:r>
          </w:p>
        </w:tc>
      </w:tr>
      <w:tr w14:paraId="4E20F30F">
        <w:tblPrEx>
          <w:tblCellMar>
            <w:top w:w="0" w:type="dxa"/>
            <w:left w:w="15" w:type="dxa"/>
            <w:bottom w:w="0" w:type="dxa"/>
            <w:right w:w="15" w:type="dxa"/>
          </w:tblCellMar>
        </w:tblPrEx>
        <w:trPr>
          <w:trHeight w:val="1140" w:hRule="atLeast"/>
        </w:trPr>
        <w:tc>
          <w:tcPr>
            <w:tcW w:w="748" w:type="dxa"/>
            <w:tcBorders>
              <w:top w:val="single" w:color="000000" w:sz="4" w:space="0"/>
              <w:left w:val="single" w:color="000000" w:sz="8" w:space="0"/>
              <w:bottom w:val="single" w:color="000000" w:sz="4" w:space="0"/>
              <w:right w:val="single" w:color="000000" w:sz="4" w:space="0"/>
            </w:tcBorders>
            <w:vAlign w:val="center"/>
          </w:tcPr>
          <w:p w14:paraId="35D85566">
            <w:pPr>
              <w:autoSpaceDN w:val="0"/>
              <w:jc w:val="center"/>
              <w:textAlignment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1 </w:t>
            </w:r>
          </w:p>
        </w:tc>
        <w:tc>
          <w:tcPr>
            <w:tcW w:w="1562" w:type="dxa"/>
            <w:tcBorders>
              <w:top w:val="single" w:color="000000" w:sz="4" w:space="0"/>
              <w:left w:val="single" w:color="000000" w:sz="4" w:space="0"/>
              <w:bottom w:val="single" w:color="000000" w:sz="4" w:space="0"/>
              <w:right w:val="single" w:color="000000" w:sz="4" w:space="0"/>
            </w:tcBorders>
            <w:vAlign w:val="center"/>
          </w:tcPr>
          <w:p w14:paraId="468B0030">
            <w:pPr>
              <w:autoSpaceDN w:val="0"/>
              <w:jc w:val="center"/>
              <w:textAlignment w:val="center"/>
              <w:rPr>
                <w:rFonts w:hint="eastAsia" w:ascii="宋体" w:hAnsi="宋体" w:eastAsia="宋体" w:cs="宋体"/>
                <w:color w:val="000000"/>
                <w:sz w:val="24"/>
                <w:highlight w:val="none"/>
              </w:rPr>
            </w:pPr>
          </w:p>
        </w:tc>
        <w:tc>
          <w:tcPr>
            <w:tcW w:w="1937" w:type="dxa"/>
            <w:tcBorders>
              <w:top w:val="single" w:color="000000" w:sz="4" w:space="0"/>
              <w:left w:val="single" w:color="000000" w:sz="4" w:space="0"/>
              <w:bottom w:val="single" w:color="000000" w:sz="4" w:space="0"/>
              <w:right w:val="single" w:color="000000" w:sz="4" w:space="0"/>
            </w:tcBorders>
            <w:vAlign w:val="center"/>
          </w:tcPr>
          <w:p w14:paraId="166907D5">
            <w:pPr>
              <w:autoSpaceDN w:val="0"/>
              <w:jc w:val="center"/>
              <w:textAlignment w:val="center"/>
              <w:rPr>
                <w:rFonts w:hint="eastAsia" w:ascii="宋体" w:hAnsi="宋体" w:eastAsia="宋体" w:cs="宋体"/>
                <w:color w:val="000000"/>
                <w:sz w:val="24"/>
                <w:highlight w:val="none"/>
              </w:rPr>
            </w:pPr>
          </w:p>
        </w:tc>
        <w:tc>
          <w:tcPr>
            <w:tcW w:w="1469" w:type="dxa"/>
            <w:tcBorders>
              <w:top w:val="single" w:color="000000" w:sz="4" w:space="0"/>
              <w:left w:val="single" w:color="000000" w:sz="4" w:space="0"/>
              <w:bottom w:val="single" w:color="000000" w:sz="4" w:space="0"/>
              <w:right w:val="single" w:color="000000" w:sz="4" w:space="0"/>
            </w:tcBorders>
            <w:vAlign w:val="center"/>
          </w:tcPr>
          <w:p w14:paraId="1159DB99">
            <w:pPr>
              <w:autoSpaceDN w:val="0"/>
              <w:jc w:val="center"/>
              <w:textAlignment w:val="center"/>
              <w:rPr>
                <w:rFonts w:hint="eastAsia" w:ascii="宋体" w:hAnsi="宋体" w:eastAsia="宋体" w:cs="宋体"/>
                <w:color w:val="000000"/>
                <w:sz w:val="24"/>
                <w:highlight w:val="none"/>
              </w:rPr>
            </w:pPr>
          </w:p>
        </w:tc>
        <w:tc>
          <w:tcPr>
            <w:tcW w:w="1002" w:type="dxa"/>
            <w:tcBorders>
              <w:top w:val="single" w:color="000000" w:sz="4" w:space="0"/>
              <w:left w:val="single" w:color="000000" w:sz="4" w:space="0"/>
              <w:bottom w:val="single" w:color="000000" w:sz="4" w:space="0"/>
              <w:right w:val="single" w:color="000000" w:sz="4" w:space="0"/>
            </w:tcBorders>
            <w:vAlign w:val="center"/>
          </w:tcPr>
          <w:p w14:paraId="60DA5E22">
            <w:pPr>
              <w:autoSpaceDN w:val="0"/>
              <w:jc w:val="center"/>
              <w:textAlignment w:val="center"/>
              <w:rPr>
                <w:rFonts w:hint="eastAsia" w:ascii="宋体" w:hAnsi="宋体" w:eastAsia="宋体" w:cs="宋体"/>
                <w:color w:val="000000"/>
                <w:sz w:val="24"/>
                <w:highlight w:val="none"/>
              </w:rPr>
            </w:pPr>
          </w:p>
        </w:tc>
        <w:tc>
          <w:tcPr>
            <w:tcW w:w="1617" w:type="dxa"/>
            <w:tcBorders>
              <w:top w:val="single" w:color="000000" w:sz="4" w:space="0"/>
              <w:left w:val="single" w:color="000000" w:sz="4" w:space="0"/>
              <w:bottom w:val="single" w:color="000000" w:sz="4" w:space="0"/>
              <w:right w:val="single" w:color="000000" w:sz="8" w:space="0"/>
            </w:tcBorders>
            <w:vAlign w:val="center"/>
          </w:tcPr>
          <w:p w14:paraId="67F37FF2">
            <w:pPr>
              <w:autoSpaceDN w:val="0"/>
              <w:jc w:val="center"/>
              <w:textAlignment w:val="center"/>
              <w:rPr>
                <w:rFonts w:hint="eastAsia" w:ascii="宋体" w:hAnsi="宋体" w:eastAsia="宋体" w:cs="宋体"/>
                <w:color w:val="000000"/>
                <w:sz w:val="24"/>
                <w:highlight w:val="none"/>
              </w:rPr>
            </w:pPr>
          </w:p>
        </w:tc>
      </w:tr>
      <w:tr w14:paraId="4E764142">
        <w:tblPrEx>
          <w:tblCellMar>
            <w:top w:w="0" w:type="dxa"/>
            <w:left w:w="15" w:type="dxa"/>
            <w:bottom w:w="0" w:type="dxa"/>
            <w:right w:w="15" w:type="dxa"/>
          </w:tblCellMar>
        </w:tblPrEx>
        <w:trPr>
          <w:trHeight w:val="1140" w:hRule="atLeast"/>
        </w:trPr>
        <w:tc>
          <w:tcPr>
            <w:tcW w:w="748" w:type="dxa"/>
            <w:tcBorders>
              <w:top w:val="single" w:color="000000" w:sz="4" w:space="0"/>
              <w:left w:val="single" w:color="000000" w:sz="8" w:space="0"/>
              <w:bottom w:val="single" w:color="000000" w:sz="4" w:space="0"/>
              <w:right w:val="single" w:color="000000" w:sz="4" w:space="0"/>
            </w:tcBorders>
            <w:vAlign w:val="center"/>
          </w:tcPr>
          <w:p w14:paraId="4C28BEC1">
            <w:pPr>
              <w:autoSpaceDN w:val="0"/>
              <w:jc w:val="center"/>
              <w:textAlignment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2 </w:t>
            </w:r>
          </w:p>
        </w:tc>
        <w:tc>
          <w:tcPr>
            <w:tcW w:w="1562" w:type="dxa"/>
            <w:tcBorders>
              <w:top w:val="single" w:color="000000" w:sz="4" w:space="0"/>
              <w:left w:val="single" w:color="000000" w:sz="4" w:space="0"/>
              <w:bottom w:val="single" w:color="000000" w:sz="4" w:space="0"/>
              <w:right w:val="single" w:color="000000" w:sz="4" w:space="0"/>
            </w:tcBorders>
            <w:vAlign w:val="center"/>
          </w:tcPr>
          <w:p w14:paraId="049536CF">
            <w:pPr>
              <w:autoSpaceDN w:val="0"/>
              <w:jc w:val="center"/>
              <w:textAlignment w:val="center"/>
              <w:rPr>
                <w:rFonts w:hint="eastAsia" w:ascii="宋体" w:hAnsi="宋体" w:eastAsia="宋体" w:cs="宋体"/>
                <w:color w:val="000000"/>
                <w:sz w:val="24"/>
                <w:highlight w:val="none"/>
              </w:rPr>
            </w:pPr>
          </w:p>
        </w:tc>
        <w:tc>
          <w:tcPr>
            <w:tcW w:w="1937" w:type="dxa"/>
            <w:tcBorders>
              <w:top w:val="single" w:color="000000" w:sz="4" w:space="0"/>
              <w:left w:val="single" w:color="000000" w:sz="4" w:space="0"/>
              <w:bottom w:val="single" w:color="000000" w:sz="4" w:space="0"/>
              <w:right w:val="single" w:color="000000" w:sz="4" w:space="0"/>
            </w:tcBorders>
            <w:vAlign w:val="center"/>
          </w:tcPr>
          <w:p w14:paraId="7B001943">
            <w:pPr>
              <w:autoSpaceDN w:val="0"/>
              <w:jc w:val="center"/>
              <w:textAlignment w:val="center"/>
              <w:rPr>
                <w:rFonts w:hint="eastAsia" w:ascii="宋体" w:hAnsi="宋体" w:eastAsia="宋体" w:cs="宋体"/>
                <w:color w:val="000000"/>
                <w:sz w:val="24"/>
                <w:highlight w:val="none"/>
              </w:rPr>
            </w:pPr>
          </w:p>
        </w:tc>
        <w:tc>
          <w:tcPr>
            <w:tcW w:w="1469" w:type="dxa"/>
            <w:tcBorders>
              <w:top w:val="single" w:color="000000" w:sz="4" w:space="0"/>
              <w:left w:val="single" w:color="000000" w:sz="4" w:space="0"/>
              <w:bottom w:val="single" w:color="000000" w:sz="4" w:space="0"/>
              <w:right w:val="single" w:color="000000" w:sz="4" w:space="0"/>
            </w:tcBorders>
            <w:vAlign w:val="center"/>
          </w:tcPr>
          <w:p w14:paraId="2AB5D055">
            <w:pPr>
              <w:autoSpaceDN w:val="0"/>
              <w:jc w:val="center"/>
              <w:textAlignment w:val="center"/>
              <w:rPr>
                <w:rFonts w:hint="eastAsia" w:ascii="宋体" w:hAnsi="宋体" w:eastAsia="宋体" w:cs="宋体"/>
                <w:color w:val="000000"/>
                <w:sz w:val="24"/>
                <w:highlight w:val="none"/>
              </w:rPr>
            </w:pPr>
          </w:p>
        </w:tc>
        <w:tc>
          <w:tcPr>
            <w:tcW w:w="1002" w:type="dxa"/>
            <w:tcBorders>
              <w:top w:val="single" w:color="000000" w:sz="4" w:space="0"/>
              <w:left w:val="single" w:color="000000" w:sz="4" w:space="0"/>
              <w:bottom w:val="single" w:color="000000" w:sz="4" w:space="0"/>
              <w:right w:val="single" w:color="000000" w:sz="4" w:space="0"/>
            </w:tcBorders>
            <w:vAlign w:val="center"/>
          </w:tcPr>
          <w:p w14:paraId="2D0FD8BD">
            <w:pPr>
              <w:autoSpaceDN w:val="0"/>
              <w:jc w:val="center"/>
              <w:textAlignment w:val="center"/>
              <w:rPr>
                <w:rFonts w:hint="eastAsia" w:ascii="宋体" w:hAnsi="宋体" w:eastAsia="宋体" w:cs="宋体"/>
                <w:color w:val="000000"/>
                <w:sz w:val="24"/>
                <w:highlight w:val="none"/>
              </w:rPr>
            </w:pPr>
          </w:p>
        </w:tc>
        <w:tc>
          <w:tcPr>
            <w:tcW w:w="1617" w:type="dxa"/>
            <w:tcBorders>
              <w:top w:val="single" w:color="000000" w:sz="4" w:space="0"/>
              <w:left w:val="single" w:color="000000" w:sz="4" w:space="0"/>
              <w:bottom w:val="single" w:color="000000" w:sz="4" w:space="0"/>
              <w:right w:val="single" w:color="000000" w:sz="8" w:space="0"/>
            </w:tcBorders>
            <w:vAlign w:val="center"/>
          </w:tcPr>
          <w:p w14:paraId="37AF68F1">
            <w:pPr>
              <w:autoSpaceDN w:val="0"/>
              <w:jc w:val="center"/>
              <w:textAlignment w:val="center"/>
              <w:rPr>
                <w:rFonts w:hint="eastAsia" w:ascii="宋体" w:hAnsi="宋体" w:eastAsia="宋体" w:cs="宋体"/>
                <w:color w:val="000000"/>
                <w:sz w:val="24"/>
                <w:highlight w:val="none"/>
              </w:rPr>
            </w:pPr>
          </w:p>
        </w:tc>
      </w:tr>
      <w:tr w14:paraId="230C08C2">
        <w:tblPrEx>
          <w:tblCellMar>
            <w:top w:w="0" w:type="dxa"/>
            <w:left w:w="15" w:type="dxa"/>
            <w:bottom w:w="0" w:type="dxa"/>
            <w:right w:w="15" w:type="dxa"/>
          </w:tblCellMar>
        </w:tblPrEx>
        <w:trPr>
          <w:trHeight w:val="1140" w:hRule="atLeast"/>
        </w:trPr>
        <w:tc>
          <w:tcPr>
            <w:tcW w:w="748" w:type="dxa"/>
            <w:tcBorders>
              <w:top w:val="single" w:color="000000" w:sz="4" w:space="0"/>
              <w:left w:val="single" w:color="000000" w:sz="8" w:space="0"/>
              <w:bottom w:val="single" w:color="000000" w:sz="4" w:space="0"/>
              <w:right w:val="single" w:color="000000" w:sz="4" w:space="0"/>
            </w:tcBorders>
            <w:vAlign w:val="center"/>
          </w:tcPr>
          <w:p w14:paraId="6CB071F1">
            <w:pPr>
              <w:autoSpaceDN w:val="0"/>
              <w:jc w:val="center"/>
              <w:textAlignment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3 </w:t>
            </w:r>
          </w:p>
        </w:tc>
        <w:tc>
          <w:tcPr>
            <w:tcW w:w="1562" w:type="dxa"/>
            <w:tcBorders>
              <w:top w:val="single" w:color="000000" w:sz="4" w:space="0"/>
              <w:left w:val="single" w:color="000000" w:sz="4" w:space="0"/>
              <w:bottom w:val="single" w:color="000000" w:sz="4" w:space="0"/>
              <w:right w:val="single" w:color="000000" w:sz="4" w:space="0"/>
            </w:tcBorders>
            <w:vAlign w:val="center"/>
          </w:tcPr>
          <w:p w14:paraId="4F400315">
            <w:pPr>
              <w:autoSpaceDN w:val="0"/>
              <w:jc w:val="center"/>
              <w:textAlignment w:val="center"/>
              <w:rPr>
                <w:rFonts w:hint="eastAsia" w:ascii="宋体" w:hAnsi="宋体" w:eastAsia="宋体" w:cs="宋体"/>
                <w:color w:val="000000"/>
                <w:sz w:val="24"/>
                <w:highlight w:val="none"/>
              </w:rPr>
            </w:pPr>
          </w:p>
        </w:tc>
        <w:tc>
          <w:tcPr>
            <w:tcW w:w="1937" w:type="dxa"/>
            <w:tcBorders>
              <w:top w:val="single" w:color="000000" w:sz="4" w:space="0"/>
              <w:left w:val="single" w:color="000000" w:sz="4" w:space="0"/>
              <w:bottom w:val="single" w:color="000000" w:sz="4" w:space="0"/>
              <w:right w:val="single" w:color="000000" w:sz="4" w:space="0"/>
            </w:tcBorders>
            <w:vAlign w:val="center"/>
          </w:tcPr>
          <w:p w14:paraId="038AB46F">
            <w:pPr>
              <w:autoSpaceDN w:val="0"/>
              <w:jc w:val="center"/>
              <w:textAlignment w:val="center"/>
              <w:rPr>
                <w:rFonts w:hint="eastAsia" w:ascii="宋体" w:hAnsi="宋体" w:eastAsia="宋体" w:cs="宋体"/>
                <w:color w:val="000000"/>
                <w:sz w:val="24"/>
                <w:highlight w:val="none"/>
              </w:rPr>
            </w:pPr>
          </w:p>
        </w:tc>
        <w:tc>
          <w:tcPr>
            <w:tcW w:w="1469" w:type="dxa"/>
            <w:tcBorders>
              <w:top w:val="single" w:color="000000" w:sz="4" w:space="0"/>
              <w:left w:val="single" w:color="000000" w:sz="4" w:space="0"/>
              <w:bottom w:val="single" w:color="000000" w:sz="4" w:space="0"/>
              <w:right w:val="single" w:color="000000" w:sz="4" w:space="0"/>
            </w:tcBorders>
            <w:vAlign w:val="center"/>
          </w:tcPr>
          <w:p w14:paraId="1940F28C">
            <w:pPr>
              <w:autoSpaceDN w:val="0"/>
              <w:jc w:val="center"/>
              <w:textAlignment w:val="center"/>
              <w:rPr>
                <w:rFonts w:hint="eastAsia" w:ascii="宋体" w:hAnsi="宋体" w:eastAsia="宋体" w:cs="宋体"/>
                <w:color w:val="000000"/>
                <w:sz w:val="24"/>
                <w:highlight w:val="none"/>
              </w:rPr>
            </w:pPr>
          </w:p>
        </w:tc>
        <w:tc>
          <w:tcPr>
            <w:tcW w:w="1002" w:type="dxa"/>
            <w:tcBorders>
              <w:top w:val="single" w:color="000000" w:sz="4" w:space="0"/>
              <w:left w:val="single" w:color="000000" w:sz="4" w:space="0"/>
              <w:bottom w:val="single" w:color="000000" w:sz="4" w:space="0"/>
              <w:right w:val="single" w:color="000000" w:sz="4" w:space="0"/>
            </w:tcBorders>
            <w:vAlign w:val="center"/>
          </w:tcPr>
          <w:p w14:paraId="5E85D2EA">
            <w:pPr>
              <w:autoSpaceDN w:val="0"/>
              <w:jc w:val="center"/>
              <w:textAlignment w:val="center"/>
              <w:rPr>
                <w:rFonts w:hint="eastAsia" w:ascii="宋体" w:hAnsi="宋体" w:eastAsia="宋体" w:cs="宋体"/>
                <w:color w:val="000000"/>
                <w:sz w:val="24"/>
                <w:highlight w:val="none"/>
              </w:rPr>
            </w:pPr>
          </w:p>
        </w:tc>
        <w:tc>
          <w:tcPr>
            <w:tcW w:w="1617" w:type="dxa"/>
            <w:tcBorders>
              <w:top w:val="single" w:color="000000" w:sz="4" w:space="0"/>
              <w:left w:val="single" w:color="000000" w:sz="4" w:space="0"/>
              <w:bottom w:val="single" w:color="000000" w:sz="4" w:space="0"/>
              <w:right w:val="single" w:color="000000" w:sz="8" w:space="0"/>
            </w:tcBorders>
            <w:vAlign w:val="center"/>
          </w:tcPr>
          <w:p w14:paraId="088CC87B">
            <w:pPr>
              <w:autoSpaceDN w:val="0"/>
              <w:jc w:val="center"/>
              <w:textAlignment w:val="center"/>
              <w:rPr>
                <w:rFonts w:hint="eastAsia" w:ascii="宋体" w:hAnsi="宋体" w:eastAsia="宋体" w:cs="宋体"/>
                <w:color w:val="000000"/>
                <w:sz w:val="24"/>
                <w:highlight w:val="none"/>
              </w:rPr>
            </w:pPr>
          </w:p>
        </w:tc>
      </w:tr>
      <w:tr w14:paraId="1EF08A24">
        <w:tblPrEx>
          <w:tblCellMar>
            <w:top w:w="0" w:type="dxa"/>
            <w:left w:w="15" w:type="dxa"/>
            <w:bottom w:w="0" w:type="dxa"/>
            <w:right w:w="15" w:type="dxa"/>
          </w:tblCellMar>
        </w:tblPrEx>
        <w:trPr>
          <w:trHeight w:val="1140" w:hRule="atLeast"/>
        </w:trPr>
        <w:tc>
          <w:tcPr>
            <w:tcW w:w="748" w:type="dxa"/>
            <w:tcBorders>
              <w:top w:val="single" w:color="000000" w:sz="4" w:space="0"/>
              <w:left w:val="single" w:color="000000" w:sz="8" w:space="0"/>
              <w:bottom w:val="single" w:color="000000" w:sz="4" w:space="0"/>
              <w:right w:val="single" w:color="000000" w:sz="4" w:space="0"/>
            </w:tcBorders>
            <w:vAlign w:val="center"/>
          </w:tcPr>
          <w:p w14:paraId="2A8C1AD8">
            <w:pPr>
              <w:autoSpaceDN w:val="0"/>
              <w:jc w:val="center"/>
              <w:textAlignment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4</w:t>
            </w:r>
          </w:p>
        </w:tc>
        <w:tc>
          <w:tcPr>
            <w:tcW w:w="1562" w:type="dxa"/>
            <w:tcBorders>
              <w:top w:val="single" w:color="000000" w:sz="4" w:space="0"/>
              <w:left w:val="single" w:color="000000" w:sz="4" w:space="0"/>
              <w:bottom w:val="single" w:color="000000" w:sz="4" w:space="0"/>
              <w:right w:val="single" w:color="000000" w:sz="4" w:space="0"/>
            </w:tcBorders>
            <w:vAlign w:val="center"/>
          </w:tcPr>
          <w:p w14:paraId="792E9A09">
            <w:pPr>
              <w:autoSpaceDN w:val="0"/>
              <w:jc w:val="center"/>
              <w:textAlignment w:val="center"/>
              <w:rPr>
                <w:rFonts w:hint="eastAsia" w:ascii="宋体" w:hAnsi="宋体" w:eastAsia="宋体" w:cs="宋体"/>
                <w:color w:val="000000"/>
                <w:sz w:val="24"/>
                <w:highlight w:val="none"/>
              </w:rPr>
            </w:pPr>
          </w:p>
        </w:tc>
        <w:tc>
          <w:tcPr>
            <w:tcW w:w="1937" w:type="dxa"/>
            <w:tcBorders>
              <w:top w:val="single" w:color="000000" w:sz="4" w:space="0"/>
              <w:left w:val="single" w:color="000000" w:sz="4" w:space="0"/>
              <w:bottom w:val="single" w:color="000000" w:sz="4" w:space="0"/>
              <w:right w:val="single" w:color="000000" w:sz="4" w:space="0"/>
            </w:tcBorders>
            <w:vAlign w:val="center"/>
          </w:tcPr>
          <w:p w14:paraId="0ED7A33F">
            <w:pPr>
              <w:autoSpaceDN w:val="0"/>
              <w:jc w:val="center"/>
              <w:textAlignment w:val="center"/>
              <w:rPr>
                <w:rFonts w:hint="eastAsia" w:ascii="宋体" w:hAnsi="宋体" w:eastAsia="宋体" w:cs="宋体"/>
                <w:color w:val="000000"/>
                <w:sz w:val="24"/>
                <w:highlight w:val="none"/>
              </w:rPr>
            </w:pPr>
          </w:p>
        </w:tc>
        <w:tc>
          <w:tcPr>
            <w:tcW w:w="1469" w:type="dxa"/>
            <w:tcBorders>
              <w:top w:val="single" w:color="000000" w:sz="4" w:space="0"/>
              <w:left w:val="single" w:color="000000" w:sz="4" w:space="0"/>
              <w:bottom w:val="single" w:color="000000" w:sz="4" w:space="0"/>
              <w:right w:val="single" w:color="000000" w:sz="4" w:space="0"/>
            </w:tcBorders>
            <w:vAlign w:val="center"/>
          </w:tcPr>
          <w:p w14:paraId="328FD018">
            <w:pPr>
              <w:autoSpaceDN w:val="0"/>
              <w:jc w:val="center"/>
              <w:textAlignment w:val="center"/>
              <w:rPr>
                <w:rFonts w:hint="eastAsia" w:ascii="宋体" w:hAnsi="宋体" w:eastAsia="宋体" w:cs="宋体"/>
                <w:color w:val="000000"/>
                <w:sz w:val="24"/>
                <w:highlight w:val="none"/>
              </w:rPr>
            </w:pPr>
          </w:p>
        </w:tc>
        <w:tc>
          <w:tcPr>
            <w:tcW w:w="1002" w:type="dxa"/>
            <w:tcBorders>
              <w:top w:val="single" w:color="000000" w:sz="4" w:space="0"/>
              <w:left w:val="single" w:color="000000" w:sz="4" w:space="0"/>
              <w:bottom w:val="single" w:color="000000" w:sz="4" w:space="0"/>
              <w:right w:val="single" w:color="000000" w:sz="4" w:space="0"/>
            </w:tcBorders>
            <w:vAlign w:val="center"/>
          </w:tcPr>
          <w:p w14:paraId="7D83193A">
            <w:pPr>
              <w:autoSpaceDN w:val="0"/>
              <w:jc w:val="center"/>
              <w:textAlignment w:val="center"/>
              <w:rPr>
                <w:rFonts w:hint="eastAsia" w:ascii="宋体" w:hAnsi="宋体" w:eastAsia="宋体" w:cs="宋体"/>
                <w:color w:val="000000"/>
                <w:sz w:val="24"/>
                <w:highlight w:val="none"/>
              </w:rPr>
            </w:pPr>
          </w:p>
        </w:tc>
        <w:tc>
          <w:tcPr>
            <w:tcW w:w="1617" w:type="dxa"/>
            <w:tcBorders>
              <w:top w:val="single" w:color="000000" w:sz="4" w:space="0"/>
              <w:left w:val="single" w:color="000000" w:sz="4" w:space="0"/>
              <w:bottom w:val="single" w:color="000000" w:sz="4" w:space="0"/>
              <w:right w:val="single" w:color="000000" w:sz="8" w:space="0"/>
            </w:tcBorders>
            <w:vAlign w:val="center"/>
          </w:tcPr>
          <w:p w14:paraId="574E36A9">
            <w:pPr>
              <w:autoSpaceDN w:val="0"/>
              <w:jc w:val="center"/>
              <w:textAlignment w:val="center"/>
              <w:rPr>
                <w:rFonts w:hint="eastAsia" w:ascii="宋体" w:hAnsi="宋体" w:eastAsia="宋体" w:cs="宋体"/>
                <w:color w:val="000000"/>
                <w:sz w:val="24"/>
                <w:highlight w:val="none"/>
              </w:rPr>
            </w:pPr>
          </w:p>
        </w:tc>
      </w:tr>
    </w:tbl>
    <w:p w14:paraId="61D33C0D">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第二条：合同价款：</w:t>
      </w:r>
    </w:p>
    <w:p w14:paraId="6DE4D31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1、本合同为固定单价合同。</w:t>
      </w:r>
    </w:p>
    <w:p w14:paraId="3018C5D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2、合同总金额包含产品供应价、运杂费（含仓储费、运费、装卸费、保险费）、安装调试费、培训费、验收费、税金及其它不可预见费用，该总金额为固定价款，不受市场变化影响。</w:t>
      </w:r>
    </w:p>
    <w:p w14:paraId="15561070">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第三条：交货地点：</w:t>
      </w:r>
    </w:p>
    <w:p w14:paraId="0EC902B4">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u w:val="single"/>
        </w:rPr>
        <w:t>陕西中医药大学附属医院</w:t>
      </w:r>
    </w:p>
    <w:p w14:paraId="55E08862">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第四条：</w:t>
      </w:r>
      <w:r>
        <w:rPr>
          <w:rFonts w:hint="eastAsia" w:ascii="宋体" w:hAnsi="宋体" w:eastAsia="宋体" w:cs="宋体"/>
          <w:b/>
          <w:sz w:val="24"/>
          <w:highlight w:val="none"/>
          <w:lang w:val="en-US" w:eastAsia="zh-CN"/>
        </w:rPr>
        <w:t>服务期及</w:t>
      </w:r>
      <w:r>
        <w:rPr>
          <w:rFonts w:hint="eastAsia" w:ascii="宋体" w:hAnsi="宋体" w:eastAsia="宋体" w:cs="宋体"/>
          <w:b/>
          <w:sz w:val="24"/>
          <w:highlight w:val="none"/>
        </w:rPr>
        <w:t>货品交货期限</w:t>
      </w:r>
    </w:p>
    <w:p w14:paraId="1DE42ECA">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服务期：</w:t>
      </w:r>
      <w:r>
        <w:rPr>
          <w:rFonts w:hint="eastAsia" w:ascii="宋体" w:hAnsi="宋体" w:cs="宋体"/>
          <w:b/>
          <w:bCs/>
          <w:sz w:val="24"/>
          <w:szCs w:val="24"/>
          <w:highlight w:val="none"/>
          <w:lang w:val="en-US" w:eastAsia="zh-CN"/>
        </w:rPr>
        <w:t>一年</w:t>
      </w:r>
    </w:p>
    <w:p w14:paraId="3CED1CC8">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highlight w:val="none"/>
        </w:rPr>
        <w:t>货品交货期限</w:t>
      </w:r>
      <w:r>
        <w:rPr>
          <w:rFonts w:hint="eastAsia" w:ascii="宋体" w:hAnsi="宋体" w:eastAsia="宋体" w:cs="宋体"/>
          <w:b/>
          <w:sz w:val="24"/>
          <w:highlight w:val="none"/>
          <w:lang w:eastAsia="zh-CN"/>
        </w:rPr>
        <w:t>：</w:t>
      </w:r>
      <w:r>
        <w:rPr>
          <w:rFonts w:hint="eastAsia" w:ascii="宋体" w:hAnsi="宋体" w:eastAsia="宋体" w:cs="宋体"/>
          <w:sz w:val="24"/>
          <w:szCs w:val="24"/>
          <w:highlight w:val="none"/>
        </w:rPr>
        <w:t>实时交付</w:t>
      </w:r>
    </w:p>
    <w:p w14:paraId="20FB28A5">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第五条：货款结算方式：</w:t>
      </w:r>
    </w:p>
    <w:p w14:paraId="237EA957">
      <w:pPr>
        <w:pStyle w:val="12"/>
        <w:numPr>
          <w:ilvl w:val="0"/>
          <w:numId w:val="1"/>
        </w:numPr>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实行三个月滚动付款，从第</w:t>
      </w:r>
      <w:r>
        <w:rPr>
          <w:rFonts w:hint="eastAsia" w:ascii="宋体" w:hAnsi="宋体" w:cs="宋体"/>
          <w:sz w:val="24"/>
          <w:szCs w:val="24"/>
          <w:highlight w:val="none"/>
          <w:lang w:val="en-US" w:eastAsia="zh-CN"/>
        </w:rPr>
        <w:t>三</w:t>
      </w:r>
      <w:r>
        <w:rPr>
          <w:rFonts w:hint="eastAsia" w:ascii="宋体" w:hAnsi="宋体" w:eastAsia="宋体" w:cs="宋体"/>
          <w:sz w:val="24"/>
          <w:szCs w:val="24"/>
          <w:highlight w:val="none"/>
        </w:rPr>
        <w:t>个月开始支付第一个月、第</w:t>
      </w:r>
      <w:r>
        <w:rPr>
          <w:rFonts w:hint="eastAsia" w:ascii="宋体" w:hAnsi="宋体" w:cs="宋体"/>
          <w:sz w:val="24"/>
          <w:szCs w:val="24"/>
          <w:highlight w:val="none"/>
          <w:lang w:val="en-US" w:eastAsia="zh-CN"/>
        </w:rPr>
        <w:t>四</w:t>
      </w:r>
      <w:r>
        <w:rPr>
          <w:rFonts w:hint="eastAsia" w:ascii="宋体" w:hAnsi="宋体" w:eastAsia="宋体" w:cs="宋体"/>
          <w:sz w:val="24"/>
          <w:szCs w:val="24"/>
          <w:highlight w:val="none"/>
        </w:rPr>
        <w:t>个月支付第二个月（按月支付、依次循环）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甲方收到乙方增值税发票后</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达到付款条件</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eastAsia="zh-CN"/>
        </w:rPr>
        <w:t>日内，</w:t>
      </w:r>
      <w:r>
        <w:rPr>
          <w:rFonts w:hint="eastAsia" w:ascii="宋体" w:hAnsi="宋体" w:cs="宋体"/>
          <w:sz w:val="24"/>
          <w:szCs w:val="24"/>
          <w:highlight w:val="none"/>
          <w:lang w:val="en-US" w:eastAsia="zh-CN"/>
        </w:rPr>
        <w:t>付完当次货款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将发票费用汇入乙方指定银行账户</w:t>
      </w:r>
      <w:r>
        <w:rPr>
          <w:rFonts w:hint="eastAsia" w:ascii="宋体" w:hAnsi="宋体" w:eastAsia="宋体" w:cs="宋体"/>
          <w:sz w:val="24"/>
          <w:szCs w:val="24"/>
          <w:highlight w:val="none"/>
          <w:lang w:eastAsia="zh-CN"/>
        </w:rPr>
        <w:t>。</w:t>
      </w:r>
    </w:p>
    <w:p w14:paraId="3611B577">
      <w:pPr>
        <w:pStyle w:val="12"/>
        <w:numPr>
          <w:ilvl w:val="0"/>
          <w:numId w:val="1"/>
        </w:numPr>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乙方需在甲方付款前向甲方开具全额的增值税普通发票。</w:t>
      </w:r>
    </w:p>
    <w:p w14:paraId="0ED3C420">
      <w:pPr>
        <w:pStyle w:val="12"/>
        <w:numPr>
          <w:ilvl w:val="0"/>
          <w:numId w:val="1"/>
        </w:numPr>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甲方通过银</w:t>
      </w:r>
      <w:bookmarkStart w:id="7" w:name="_GoBack"/>
      <w:bookmarkEnd w:id="7"/>
      <w:r>
        <w:rPr>
          <w:rFonts w:hint="eastAsia" w:ascii="宋体" w:hAnsi="宋体" w:eastAsia="宋体" w:cs="宋体"/>
          <w:sz w:val="24"/>
          <w:szCs w:val="24"/>
          <w:highlight w:val="none"/>
        </w:rPr>
        <w:t>行转账的方式向乙方支付协议款项，乙方提供银行账号。</w:t>
      </w:r>
    </w:p>
    <w:p w14:paraId="05B1528A">
      <w:pPr>
        <w:pStyle w:val="12"/>
        <w:numPr>
          <w:ilvl w:val="0"/>
          <w:numId w:val="1"/>
        </w:numPr>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支付方式：银行转账。</w:t>
      </w:r>
    </w:p>
    <w:p w14:paraId="2F43286D">
      <w:pPr>
        <w:pStyle w:val="12"/>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乙方专用账户名为：</w:t>
      </w:r>
    </w:p>
    <w:p w14:paraId="36AD0844">
      <w:pPr>
        <w:pStyle w:val="12"/>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账号为：</w:t>
      </w:r>
    </w:p>
    <w:p w14:paraId="23C2D3C2">
      <w:pPr>
        <w:pStyle w:val="12"/>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开户行为：</w:t>
      </w:r>
    </w:p>
    <w:p w14:paraId="70CEC848">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第六条</w:t>
      </w:r>
      <w:r>
        <w:rPr>
          <w:rFonts w:hint="eastAsia" w:ascii="宋体" w:hAnsi="宋体" w:eastAsia="宋体" w:cs="宋体"/>
          <w:b/>
          <w:sz w:val="24"/>
          <w:szCs w:val="24"/>
          <w:highlight w:val="none"/>
        </w:rPr>
        <w:t>：甲方的权利和义务</w:t>
      </w:r>
    </w:p>
    <w:p w14:paraId="06DB104D">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1、甲方有权要求乙方提供相应的资质（企业资质证书</w:t>
      </w:r>
      <w:r>
        <w:rPr>
          <w:rFonts w:hint="eastAsia" w:ascii="宋体" w:hAnsi="宋体" w:eastAsia="宋体" w:cs="宋体"/>
          <w:kern w:val="2"/>
          <w:sz w:val="24"/>
          <w:highlight w:val="none"/>
          <w:lang w:eastAsia="zh-CN"/>
        </w:rPr>
        <w:t>、</w:t>
      </w:r>
      <w:r>
        <w:rPr>
          <w:rFonts w:hint="eastAsia" w:ascii="宋体" w:hAnsi="宋体" w:eastAsia="宋体" w:cs="宋体"/>
          <w:kern w:val="2"/>
          <w:sz w:val="24"/>
          <w:highlight w:val="none"/>
        </w:rPr>
        <w:t>质量体系认证证书以及人员资质和版权资质），核对原件，并留存复印件。</w:t>
      </w:r>
    </w:p>
    <w:p w14:paraId="26A86278">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2、甲方有权要求乙方按合同约定时间交付产品。</w:t>
      </w:r>
    </w:p>
    <w:p w14:paraId="760934D8">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3、甲方负责配合乙方提供进场实施所需要的本项目相关的电源环境、网络环境等基础设施，积极配合乙方提出的配合请求，提供必须的工具软件，提供乙方提出的其他合理的工作条件，及时按照合同约定方式对乙方提供的执行文档进行确认。</w:t>
      </w:r>
    </w:p>
    <w:p w14:paraId="6B2BD6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4、负责提供培训场地，组织参加培训的人员按时出席，并配合乙方对受训人员进行考核。</w:t>
      </w:r>
    </w:p>
    <w:p w14:paraId="7E0C8EF9">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5、依据合同协助乙方完成验收等相关事宜并按照合同要求支付费用。</w:t>
      </w:r>
    </w:p>
    <w:p w14:paraId="44D186FE">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第七条：乙方的权利和义务</w:t>
      </w:r>
    </w:p>
    <w:p w14:paraId="27077EFA">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1、乙方有权要求甲方为乙方履行本合同提供便利，要求甲方提供必须的相关资料。</w:t>
      </w:r>
    </w:p>
    <w:p w14:paraId="3BA83333">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2、乙方有权要求甲方按本合同约定支付费用。</w:t>
      </w:r>
    </w:p>
    <w:p w14:paraId="139F76E7">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3、乙方保证其所交付的产品没有侵犯任何第三人的知识产权和商业秘密。</w:t>
      </w:r>
    </w:p>
    <w:p w14:paraId="43BBA4BF">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4、乙方应按合同约定提供项目相关的技术文档材料，及时交付产品。</w:t>
      </w:r>
    </w:p>
    <w:p w14:paraId="4A6E80D5">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5、对双方共同确认的甲方受训人员提供集中培训服务。</w:t>
      </w:r>
    </w:p>
    <w:p w14:paraId="24B2A916">
      <w:pPr>
        <w:pStyle w:val="13"/>
        <w:spacing w:line="360" w:lineRule="auto"/>
        <w:ind w:firstLine="480" w:firstLineChars="200"/>
        <w:rPr>
          <w:rFonts w:hint="eastAsia" w:ascii="宋体" w:hAnsi="宋体" w:eastAsia="宋体" w:cs="宋体"/>
          <w:kern w:val="2"/>
          <w:sz w:val="24"/>
          <w:highlight w:val="none"/>
        </w:rPr>
      </w:pPr>
      <w:r>
        <w:rPr>
          <w:rFonts w:hint="eastAsia" w:ascii="宋体" w:hAnsi="宋体" w:eastAsia="宋体" w:cs="宋体"/>
          <w:kern w:val="2"/>
          <w:sz w:val="24"/>
          <w:highlight w:val="none"/>
        </w:rPr>
        <w:t>6、按照双方确认的期限负责产品的安装、测试、调试工作及后续的维护工作。</w:t>
      </w:r>
    </w:p>
    <w:p w14:paraId="61224308">
      <w:pPr>
        <w:pStyle w:val="13"/>
        <w:spacing w:line="360" w:lineRule="auto"/>
        <w:ind w:firstLine="482" w:firstLineChars="200"/>
        <w:rPr>
          <w:rFonts w:hint="eastAsia" w:ascii="宋体" w:hAnsi="宋体" w:eastAsia="宋体" w:cs="宋体"/>
          <w:kern w:val="2"/>
          <w:sz w:val="24"/>
          <w:highlight w:val="none"/>
          <w:lang w:val="en-US" w:eastAsia="zh-CN"/>
        </w:rPr>
      </w:pPr>
      <w:bookmarkStart w:id="0" w:name="_Toc4058"/>
      <w:r>
        <w:rPr>
          <w:rFonts w:hint="eastAsia" w:ascii="宋体" w:hAnsi="宋体" w:eastAsia="宋体" w:cs="宋体"/>
          <w:b/>
          <w:color w:val="000000"/>
          <w:sz w:val="24"/>
          <w:highlight w:val="none"/>
        </w:rPr>
        <w:t>第八条</w:t>
      </w:r>
      <w:r>
        <w:rPr>
          <w:rFonts w:hint="eastAsia" w:ascii="宋体" w:hAnsi="宋体" w:eastAsia="宋体" w:cs="宋体"/>
          <w:b/>
          <w:color w:val="000000"/>
          <w:sz w:val="24"/>
          <w:highlight w:val="none"/>
          <w:lang w:eastAsia="zh-CN"/>
        </w:rPr>
        <w:t>：</w:t>
      </w:r>
      <w:r>
        <w:rPr>
          <w:rFonts w:hint="eastAsia" w:ascii="宋体" w:hAnsi="宋体" w:eastAsia="宋体" w:cs="宋体"/>
          <w:b/>
          <w:color w:val="000000"/>
          <w:sz w:val="24"/>
          <w:highlight w:val="none"/>
          <w:lang w:val="en-US" w:eastAsia="zh-CN"/>
        </w:rPr>
        <w:t>质量保证</w:t>
      </w:r>
    </w:p>
    <w:p w14:paraId="109110AB">
      <w:pPr>
        <w:pStyle w:val="13"/>
        <w:spacing w:line="360" w:lineRule="auto"/>
        <w:ind w:firstLine="480" w:firstLineChars="200"/>
        <w:rPr>
          <w:rFonts w:hint="eastAsia" w:ascii="宋体" w:hAnsi="宋体" w:eastAsia="宋体" w:cs="宋体"/>
          <w:kern w:val="2"/>
          <w:sz w:val="24"/>
          <w:highlight w:val="none"/>
          <w:lang w:val="zh-TW" w:eastAsia="zh-TW"/>
        </w:rPr>
      </w:pPr>
      <w:r>
        <w:rPr>
          <w:rFonts w:hint="eastAsia" w:ascii="宋体" w:hAnsi="宋体" w:eastAsia="宋体" w:cs="宋体"/>
          <w:kern w:val="2"/>
          <w:sz w:val="24"/>
          <w:highlight w:val="none"/>
          <w:lang w:val="zh-TW" w:eastAsia="zh-TW"/>
        </w:rPr>
        <w:t>1、乙方提供货物必须是原品牌制造厂制造的最新工艺、生产的最新产品。</w:t>
      </w:r>
      <w:bookmarkEnd w:id="0"/>
    </w:p>
    <w:p w14:paraId="735D089D">
      <w:pPr>
        <w:pStyle w:val="13"/>
        <w:spacing w:line="360" w:lineRule="auto"/>
        <w:ind w:firstLine="480" w:firstLineChars="200"/>
        <w:rPr>
          <w:rFonts w:hint="eastAsia" w:ascii="宋体" w:hAnsi="宋体" w:eastAsia="宋体" w:cs="宋体"/>
          <w:kern w:val="2"/>
          <w:sz w:val="24"/>
          <w:highlight w:val="none"/>
          <w:lang w:val="zh-TW" w:eastAsia="zh-TW"/>
        </w:rPr>
      </w:pPr>
      <w:bookmarkStart w:id="1" w:name="_Toc23172"/>
      <w:r>
        <w:rPr>
          <w:rFonts w:hint="eastAsia" w:ascii="宋体" w:hAnsi="宋体" w:eastAsia="宋体" w:cs="宋体"/>
          <w:kern w:val="2"/>
          <w:sz w:val="24"/>
          <w:highlight w:val="none"/>
          <w:lang w:val="zh-TW" w:eastAsia="zh-TW"/>
        </w:rPr>
        <w:t>2、所供货物必须是经过办理正常手续的全新产品。</w:t>
      </w:r>
      <w:bookmarkEnd w:id="1"/>
    </w:p>
    <w:p w14:paraId="7D7263CD">
      <w:pPr>
        <w:pStyle w:val="13"/>
        <w:spacing w:line="360" w:lineRule="auto"/>
        <w:ind w:firstLine="480" w:firstLineChars="200"/>
        <w:rPr>
          <w:rFonts w:hint="eastAsia" w:ascii="宋体" w:hAnsi="宋体" w:eastAsia="宋体" w:cs="宋体"/>
          <w:kern w:val="2"/>
          <w:sz w:val="24"/>
          <w:highlight w:val="none"/>
          <w:lang w:val="zh-TW" w:eastAsia="zh-TW"/>
        </w:rPr>
      </w:pPr>
      <w:bookmarkStart w:id="2" w:name="_Toc27955"/>
      <w:r>
        <w:rPr>
          <w:rFonts w:hint="eastAsia" w:ascii="宋体" w:hAnsi="宋体" w:eastAsia="宋体" w:cs="宋体"/>
          <w:kern w:val="2"/>
          <w:sz w:val="24"/>
          <w:highlight w:val="none"/>
          <w:lang w:val="zh-TW" w:eastAsia="zh-TW"/>
        </w:rPr>
        <w:t>3、所供货物是经过国家法定检验、注册、准许市场销售的合法产品。</w:t>
      </w:r>
      <w:bookmarkEnd w:id="2"/>
    </w:p>
    <w:p w14:paraId="71D090C9">
      <w:pPr>
        <w:pStyle w:val="13"/>
        <w:spacing w:line="360" w:lineRule="auto"/>
        <w:ind w:firstLine="480" w:firstLineChars="200"/>
        <w:rPr>
          <w:rFonts w:hint="eastAsia" w:ascii="宋体" w:hAnsi="宋体" w:eastAsia="宋体" w:cs="宋体"/>
          <w:kern w:val="2"/>
          <w:sz w:val="24"/>
          <w:highlight w:val="none"/>
          <w:lang w:val="zh-TW" w:eastAsia="zh-TW"/>
        </w:rPr>
      </w:pPr>
      <w:bookmarkStart w:id="3" w:name="_Toc6034"/>
      <w:r>
        <w:rPr>
          <w:rFonts w:hint="eastAsia" w:ascii="宋体" w:hAnsi="宋体" w:eastAsia="宋体" w:cs="宋体"/>
          <w:kern w:val="2"/>
          <w:sz w:val="24"/>
          <w:highlight w:val="none"/>
          <w:lang w:val="zh-TW" w:eastAsia="zh-TW"/>
        </w:rPr>
        <w:t>4、货物性能稳定、具有较好的使用效果，质量保证措施完善，符合国家相关标准。</w:t>
      </w:r>
      <w:bookmarkEnd w:id="3"/>
    </w:p>
    <w:p w14:paraId="15DD5C7C">
      <w:pPr>
        <w:pStyle w:val="13"/>
        <w:spacing w:line="360" w:lineRule="auto"/>
        <w:ind w:firstLine="480" w:firstLineChars="200"/>
        <w:rPr>
          <w:rFonts w:hint="eastAsia" w:ascii="宋体" w:hAnsi="宋体" w:eastAsia="宋体" w:cs="宋体"/>
          <w:kern w:val="2"/>
          <w:sz w:val="24"/>
          <w:highlight w:val="none"/>
          <w:lang w:val="zh-TW" w:eastAsia="zh-TW"/>
        </w:rPr>
      </w:pPr>
      <w:bookmarkStart w:id="4" w:name="_Toc479"/>
      <w:r>
        <w:rPr>
          <w:rFonts w:hint="eastAsia" w:ascii="宋体" w:hAnsi="宋体" w:eastAsia="宋体" w:cs="宋体"/>
          <w:kern w:val="2"/>
          <w:sz w:val="24"/>
          <w:highlight w:val="none"/>
          <w:lang w:val="zh-TW" w:eastAsia="zh-TW"/>
        </w:rPr>
        <w:t>5、包装要求</w:t>
      </w:r>
      <w:bookmarkEnd w:id="4"/>
    </w:p>
    <w:p w14:paraId="7F2742B9">
      <w:pPr>
        <w:pStyle w:val="13"/>
        <w:spacing w:line="360" w:lineRule="auto"/>
        <w:ind w:firstLine="480" w:firstLineChars="200"/>
        <w:rPr>
          <w:rFonts w:hint="eastAsia" w:ascii="宋体" w:hAnsi="宋体" w:eastAsia="宋体" w:cs="宋体"/>
          <w:kern w:val="2"/>
          <w:sz w:val="24"/>
          <w:highlight w:val="none"/>
          <w:lang w:val="zh-TW" w:eastAsia="zh-TW"/>
        </w:rPr>
      </w:pPr>
      <w:bookmarkStart w:id="5" w:name="_Toc5290"/>
      <w:r>
        <w:rPr>
          <w:rFonts w:hint="eastAsia" w:ascii="宋体" w:hAnsi="宋体" w:eastAsia="宋体" w:cs="宋体"/>
          <w:kern w:val="2"/>
          <w:sz w:val="24"/>
          <w:highlight w:val="none"/>
          <w:lang w:val="zh-TW" w:eastAsia="zh-TW"/>
        </w:rPr>
        <w:t>5-1、除合同另有规定外，乙方提供的全部货物，均应按标准保护措施进行包装，并确保货物安全无损运抵甲方指定地点。</w:t>
      </w:r>
      <w:bookmarkEnd w:id="5"/>
    </w:p>
    <w:p w14:paraId="20F55BE0">
      <w:pPr>
        <w:pStyle w:val="13"/>
        <w:spacing w:line="360" w:lineRule="auto"/>
        <w:ind w:firstLine="480" w:firstLineChars="200"/>
        <w:rPr>
          <w:rFonts w:hint="eastAsia" w:ascii="宋体" w:hAnsi="宋体" w:eastAsia="宋体" w:cs="宋体"/>
          <w:kern w:val="2"/>
          <w:sz w:val="24"/>
          <w:highlight w:val="none"/>
          <w:lang w:val="zh-TW" w:eastAsia="zh-TW"/>
        </w:rPr>
      </w:pPr>
      <w:bookmarkStart w:id="6" w:name="_Toc32105"/>
      <w:r>
        <w:rPr>
          <w:rFonts w:hint="eastAsia" w:ascii="宋体" w:hAnsi="宋体" w:eastAsia="宋体" w:cs="宋体"/>
          <w:kern w:val="2"/>
          <w:sz w:val="24"/>
          <w:highlight w:val="none"/>
          <w:lang w:val="zh-TW" w:eastAsia="zh-TW"/>
        </w:rPr>
        <w:t>5-2、每一个包装箱内应附一份详细装箱单和质量合格证。</w:t>
      </w:r>
      <w:bookmarkEnd w:id="6"/>
    </w:p>
    <w:p w14:paraId="16321B33">
      <w:pPr>
        <w:spacing w:line="360" w:lineRule="auto"/>
        <w:ind w:firstLine="482" w:firstLineChars="200"/>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val="en-US" w:eastAsia="zh-CN"/>
        </w:rPr>
        <w:t>九</w:t>
      </w:r>
      <w:r>
        <w:rPr>
          <w:rFonts w:hint="eastAsia" w:ascii="宋体" w:hAnsi="宋体" w:eastAsia="宋体" w:cs="宋体"/>
          <w:b/>
          <w:color w:val="000000"/>
          <w:sz w:val="24"/>
          <w:highlight w:val="none"/>
        </w:rPr>
        <w:t>条：产品的验收</w:t>
      </w:r>
    </w:p>
    <w:p w14:paraId="0CB8CC35">
      <w:pPr>
        <w:numPr>
          <w:ilvl w:val="0"/>
          <w:numId w:val="2"/>
        </w:num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中标产品品牌不得变更，公司之间不得自行转让，一经发现，甲方有权解除协议，如需变更需提前以书面的形式征求甲方同意。</w:t>
      </w:r>
    </w:p>
    <w:p w14:paraId="7F7B4C5C">
      <w:pPr>
        <w:numPr>
          <w:ilvl w:val="0"/>
          <w:numId w:val="2"/>
        </w:num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乙方负责将货品运送至甲方指定地点，甲方验收合格后方可收货。运输过程中所产生的费用由乙方承担。所有产品在运输、搬运、安装的过程中，造成甲方损失的，由乙方为甲方更换。</w:t>
      </w:r>
    </w:p>
    <w:p w14:paraId="3997C141">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highlight w:val="none"/>
        </w:rPr>
        <w:t>乙方提供的办公耗材的厂家、品种、规格、数量不符合合同规定的标准，甲方有权拒绝收货。</w:t>
      </w:r>
    </w:p>
    <w:p w14:paraId="0CF83368">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highlight w:val="none"/>
        </w:rPr>
        <w:t>乙方所提供的办公耗材在有限范围内出现质量问题，要按质量承诺、由乙方进行退货，并承担相应的责任。</w:t>
      </w:r>
    </w:p>
    <w:p w14:paraId="260555DF">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highlight w:val="none"/>
        </w:rPr>
        <w:t>所提供的硬件类耗材，质保期均为1年。一次性消耗类耗材，需保证在使用过程中无质量问题，如遇质量问题，乙方第一时间进行更换。</w:t>
      </w:r>
    </w:p>
    <w:p w14:paraId="2C6CDD83">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第</w:t>
      </w:r>
      <w:r>
        <w:rPr>
          <w:rFonts w:hint="eastAsia" w:ascii="宋体" w:hAnsi="宋体" w:cs="宋体"/>
          <w:b/>
          <w:sz w:val="24"/>
          <w:szCs w:val="24"/>
          <w:highlight w:val="none"/>
          <w:lang w:val="en-US" w:eastAsia="zh-CN"/>
        </w:rPr>
        <w:t>十</w:t>
      </w:r>
      <w:r>
        <w:rPr>
          <w:rFonts w:hint="eastAsia" w:ascii="宋体" w:hAnsi="宋体" w:eastAsia="宋体" w:cs="宋体"/>
          <w:b/>
          <w:sz w:val="24"/>
          <w:szCs w:val="24"/>
          <w:highlight w:val="none"/>
        </w:rPr>
        <w:t>条：售后服务</w:t>
      </w:r>
    </w:p>
    <w:p w14:paraId="0568CCF1">
      <w:p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eastAsia="宋体" w:cs="宋体"/>
          <w:color w:val="000000"/>
          <w:sz w:val="24"/>
          <w:highlight w:val="none"/>
        </w:rPr>
        <w:t>1、乙方需提供不少于两名驻场服务人员。</w:t>
      </w:r>
    </w:p>
    <w:p w14:paraId="3EE5B328">
      <w:p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2</w:t>
      </w:r>
      <w:r>
        <w:rPr>
          <w:rFonts w:hint="eastAsia" w:ascii="宋体" w:hAnsi="宋体" w:eastAsia="宋体" w:cs="宋体"/>
          <w:color w:val="000000"/>
          <w:sz w:val="24"/>
          <w:highlight w:val="none"/>
        </w:rPr>
        <w:t>、乙方承诺，服务期内，服务内容包括：所有耗材的运送及安装工作。即使相应，即使办理。服务的方式：电话、邮件、现场，按照甲方要求的方式完成。</w:t>
      </w:r>
    </w:p>
    <w:p w14:paraId="4F72D6D0">
      <w:p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3</w:t>
      </w:r>
      <w:r>
        <w:rPr>
          <w:rFonts w:hint="eastAsia" w:ascii="宋体" w:hAnsi="宋体" w:eastAsia="宋体" w:cs="宋体"/>
          <w:color w:val="000000"/>
          <w:sz w:val="24"/>
          <w:highlight w:val="none"/>
        </w:rPr>
        <w:t>、乙方承诺，当产品不能正常运行时，应在接到甲方通知后即使响应，提供现场技术支持。</w:t>
      </w:r>
    </w:p>
    <w:p w14:paraId="682BBF8D">
      <w:p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4</w:t>
      </w:r>
      <w:r>
        <w:rPr>
          <w:rFonts w:hint="eastAsia" w:ascii="宋体" w:hAnsi="宋体" w:eastAsia="宋体" w:cs="宋体"/>
          <w:color w:val="000000"/>
          <w:sz w:val="24"/>
          <w:highlight w:val="none"/>
        </w:rPr>
        <w:t>、服务期内、乙方驻场人员的差旅费及其它相关费用均由乙方承担。</w:t>
      </w:r>
    </w:p>
    <w:p w14:paraId="6891813C">
      <w:p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5</w:t>
      </w:r>
      <w:r>
        <w:rPr>
          <w:rFonts w:hint="eastAsia" w:ascii="宋体" w:hAnsi="宋体" w:eastAsia="宋体" w:cs="宋体"/>
          <w:color w:val="000000"/>
          <w:sz w:val="24"/>
          <w:highlight w:val="none"/>
        </w:rPr>
        <w:t>、乙方提供产品应无任何瑕疵，如在使用过程中本产品存在隐蔽瑕疵造成医疗事故而引发的纠纷，由乙方全额负责赔偿，并免费为甲方修复瑕疵或更新换代，期间产生的费用均由乙方承担。</w:t>
      </w:r>
    </w:p>
    <w:p w14:paraId="3DA8ED5C">
      <w:pPr>
        <w:spacing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第十一条：知识产权及保密条款</w:t>
      </w:r>
    </w:p>
    <w:p w14:paraId="52F77A4B">
      <w:pPr>
        <w:numPr>
          <w:ilvl w:val="0"/>
          <w:numId w:val="3"/>
        </w:numPr>
        <w:spacing w:line="360" w:lineRule="auto"/>
        <w:ind w:firstLine="480" w:firstLineChars="200"/>
        <w:jc w:val="left"/>
        <w:rPr>
          <w:rFonts w:hint="eastAsia" w:ascii="宋体" w:hAnsi="宋体" w:eastAsia="宋体" w:cs="宋体"/>
          <w:color w:val="000000"/>
          <w:sz w:val="24"/>
          <w:highlight w:val="none"/>
        </w:rPr>
      </w:pPr>
      <w:r>
        <w:rPr>
          <w:rFonts w:hint="eastAsia" w:ascii="宋体" w:hAnsi="宋体" w:eastAsia="宋体" w:cs="宋体"/>
          <w:color w:val="000000"/>
          <w:sz w:val="24"/>
          <w:highlight w:val="none"/>
        </w:rPr>
        <w:t>乙方保证其提供本合同项下的产品具备相应资质，为履行本合同而使用的产品不存在权利瑕疵或侵害第三人利益的情形。</w:t>
      </w:r>
    </w:p>
    <w:p w14:paraId="2C7AA3DD">
      <w:pPr>
        <w:pStyle w:val="8"/>
        <w:tabs>
          <w:tab w:val="left" w:pos="6240"/>
        </w:tabs>
        <w:spacing w:line="360" w:lineRule="auto"/>
        <w:ind w:left="0" w:leftChars="0" w:firstLine="480"/>
        <w:rPr>
          <w:rFonts w:hint="eastAsia" w:ascii="宋体" w:hAnsi="宋体" w:eastAsia="宋体" w:cs="宋体"/>
          <w:color w:val="000000"/>
          <w:sz w:val="24"/>
          <w:szCs w:val="24"/>
          <w:highlight w:val="none"/>
        </w:rPr>
      </w:pPr>
      <w:r>
        <w:rPr>
          <w:rFonts w:hint="eastAsia" w:ascii="宋体" w:hAnsi="宋体" w:eastAsia="宋体" w:cs="宋体"/>
          <w:color w:val="000000"/>
          <w:sz w:val="24"/>
          <w:highlight w:val="none"/>
        </w:rPr>
        <w:t>2、</w:t>
      </w:r>
      <w:r>
        <w:rPr>
          <w:rFonts w:hint="eastAsia" w:ascii="宋体" w:hAnsi="宋体" w:eastAsia="宋体" w:cs="宋体"/>
          <w:color w:val="000000"/>
          <w:sz w:val="24"/>
          <w:szCs w:val="24"/>
          <w:highlight w:val="none"/>
        </w:rPr>
        <w:t>本项目涉及的保密内容包括技术信息、经营信息等，双方都有责任对对方提供的技术情报、资料数据及商业秘密保密，不得向第三方泄露。</w:t>
      </w:r>
    </w:p>
    <w:p w14:paraId="64C130F2">
      <w:pPr>
        <w:pStyle w:val="6"/>
        <w:spacing w:line="360" w:lineRule="auto"/>
        <w:ind w:firstLineChars="200"/>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3、未经对方同意，任何一方不得以任何形式公开本合同及附件内容。双方在未征得对方同意的情况下，不得向第三方泄露在项目中接触到的需要保密的信息和资料。不得为任何本合同之外的其他目的而自行使用或允许他人使用从对方获得的信息（包括但不限于所有的报告、摘录、纪要、文件、计划、报表、复印件等）。</w:t>
      </w:r>
    </w:p>
    <w:p w14:paraId="588DE3A9">
      <w:pPr>
        <w:pStyle w:val="6"/>
        <w:spacing w:line="360" w:lineRule="auto"/>
        <w:ind w:firstLineChars="200"/>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4、负有保密义务的人员范围为甲乙双方参与及知悉项目的所有人员，双方负有永久保密义务。</w:t>
      </w:r>
      <w:r>
        <w:rPr>
          <w:rFonts w:hint="eastAsia" w:ascii="宋体" w:hAnsi="宋体" w:eastAsia="宋体" w:cs="宋体"/>
          <w:color w:val="000000"/>
          <w:kern w:val="2"/>
          <w:sz w:val="24"/>
          <w:szCs w:val="24"/>
          <w:highlight w:val="none"/>
        </w:rPr>
        <w:tab/>
      </w:r>
    </w:p>
    <w:p w14:paraId="79702B17">
      <w:pPr>
        <w:pStyle w:val="6"/>
        <w:spacing w:line="360" w:lineRule="auto"/>
        <w:ind w:firstLineChars="200"/>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5、本项目项下产生数据资料、统计资料等电子信息所有权属于甲方，未经甲方书面同意，乙方不得以任何方式使用或变相使用，不得以任何方式向第三方披露，否则，乙方应当向甲方赔偿损失。</w:t>
      </w:r>
    </w:p>
    <w:p w14:paraId="7CDA92C8">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color w:val="000000"/>
          <w:kern w:val="2"/>
          <w:sz w:val="24"/>
          <w:szCs w:val="24"/>
          <w:highlight w:val="none"/>
        </w:rPr>
        <w:t>第十二条：</w:t>
      </w:r>
      <w:r>
        <w:rPr>
          <w:rFonts w:hint="eastAsia" w:ascii="宋体" w:hAnsi="宋体" w:eastAsia="宋体" w:cs="宋体"/>
          <w:b/>
          <w:sz w:val="24"/>
          <w:szCs w:val="24"/>
          <w:highlight w:val="none"/>
        </w:rPr>
        <w:t>违约责任</w:t>
      </w:r>
    </w:p>
    <w:p w14:paraId="21F457FA">
      <w:pPr>
        <w:pStyle w:val="12"/>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 乙方如不能按时交货，应向甲方支付迟延履行的违约金，每逾期一天以逾期交货货款金额为基数按照日</w:t>
      </w:r>
      <w:r>
        <w:rPr>
          <w:rFonts w:hint="eastAsia" w:ascii="宋体" w:hAnsi="宋体" w:eastAsia="宋体" w:cs="宋体"/>
          <w:sz w:val="24"/>
          <w:highlight w:val="none"/>
          <w:u w:val="single"/>
        </w:rPr>
        <w:t>0.2</w:t>
      </w:r>
      <w:r>
        <w:rPr>
          <w:rFonts w:hint="eastAsia" w:ascii="宋体" w:hAnsi="宋体" w:eastAsia="宋体" w:cs="宋体"/>
          <w:sz w:val="24"/>
          <w:highlight w:val="none"/>
        </w:rPr>
        <w:t>‰计算违约金。乙方如未按照本合同约定时间完成安装、调试等义务，每逾期一天应向甲方支付本合同总价款</w:t>
      </w:r>
      <w:r>
        <w:rPr>
          <w:rFonts w:hint="eastAsia" w:ascii="宋体" w:hAnsi="宋体" w:eastAsia="宋体" w:cs="宋体"/>
          <w:sz w:val="24"/>
          <w:highlight w:val="none"/>
          <w:u w:val="single"/>
        </w:rPr>
        <w:t>0.2</w:t>
      </w:r>
      <w:r>
        <w:rPr>
          <w:rFonts w:hint="eastAsia" w:ascii="宋体" w:hAnsi="宋体" w:eastAsia="宋体" w:cs="宋体"/>
          <w:sz w:val="24"/>
          <w:highlight w:val="none"/>
        </w:rPr>
        <w:t>‰的违约金。乙方逾期超过</w:t>
      </w:r>
      <w:r>
        <w:rPr>
          <w:rFonts w:hint="eastAsia" w:ascii="宋体" w:hAnsi="宋体" w:eastAsia="宋体" w:cs="宋体"/>
          <w:sz w:val="24"/>
          <w:highlight w:val="none"/>
          <w:u w:val="single"/>
        </w:rPr>
        <w:t>30</w:t>
      </w:r>
      <w:r>
        <w:rPr>
          <w:rFonts w:hint="eastAsia" w:ascii="宋体" w:hAnsi="宋体" w:eastAsia="宋体" w:cs="宋体"/>
          <w:sz w:val="24"/>
          <w:highlight w:val="none"/>
        </w:rPr>
        <w:t>天的，甲方有权解除合同。</w:t>
      </w:r>
    </w:p>
    <w:p w14:paraId="3C3BD2E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如乙方交付的产品数量、品种、规格、质量不符合国家标准和合同约定的，由乙方负责包换、退货，并承担由此给甲方造成的所有经济损失。</w:t>
      </w:r>
    </w:p>
    <w:p w14:paraId="14E01D79">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除前款约定外，乙方未按合同要求提供产品或提供虚假材料，且质量不能满足技术要求的，甲方有权解除合同，并对乙方的违法、违约行为进行追究。</w:t>
      </w:r>
    </w:p>
    <w:p w14:paraId="1AB8329D">
      <w:pPr>
        <w:spacing w:line="360" w:lineRule="auto"/>
        <w:ind w:firstLine="480" w:firstLineChars="200"/>
        <w:rPr>
          <w:rFonts w:hint="eastAsia" w:ascii="宋体" w:hAnsi="宋体" w:eastAsia="宋体" w:cs="宋体"/>
          <w:sz w:val="24"/>
        </w:rPr>
      </w:pPr>
      <w:r>
        <w:rPr>
          <w:rFonts w:hint="eastAsia" w:ascii="宋体" w:hAnsi="宋体" w:eastAsia="宋体" w:cs="宋体"/>
          <w:sz w:val="24"/>
          <w:highlight w:val="none"/>
        </w:rPr>
        <w:t>3、乙方确</w:t>
      </w:r>
      <w:r>
        <w:rPr>
          <w:rFonts w:hint="eastAsia" w:ascii="宋体" w:hAnsi="宋体" w:eastAsia="宋体" w:cs="宋体"/>
          <w:sz w:val="24"/>
        </w:rPr>
        <w:t>保出卖的产品拥有合法的所有权、使用权或知识产权，如因甲方购买、使用该产品、软件引起与其它第三方发生法律、经济纠纷的，乙方应主动承担全部责任，积极参与处理因此引起的与其他第三方发生法律、经济责任，承担甲方因此造成的全部损失（包括但不限于赔偿费、律师费、交通费、诉讼费等），并且乙方应退还甲方支付的所有款项，以及支付合同价款总额</w:t>
      </w:r>
      <w:r>
        <w:rPr>
          <w:rFonts w:hint="eastAsia" w:ascii="宋体" w:hAnsi="宋体" w:eastAsia="宋体" w:cs="宋体"/>
          <w:sz w:val="24"/>
          <w:u w:val="single"/>
        </w:rPr>
        <w:t xml:space="preserve">20 </w:t>
      </w:r>
      <w:r>
        <w:rPr>
          <w:rFonts w:hint="eastAsia" w:ascii="宋体" w:hAnsi="宋体" w:eastAsia="宋体" w:cs="宋体"/>
          <w:sz w:val="24"/>
        </w:rPr>
        <w:t>%违约金。</w:t>
      </w:r>
    </w:p>
    <w:p w14:paraId="29672FCC">
      <w:pPr>
        <w:pStyle w:val="13"/>
        <w:spacing w:line="360" w:lineRule="auto"/>
        <w:ind w:firstLine="480" w:firstLineChars="200"/>
        <w:rPr>
          <w:rFonts w:hint="eastAsia" w:ascii="宋体" w:hAnsi="宋体" w:eastAsia="宋体" w:cs="宋体"/>
        </w:rPr>
      </w:pPr>
      <w:r>
        <w:rPr>
          <w:rFonts w:hint="eastAsia" w:ascii="宋体" w:hAnsi="宋体" w:eastAsia="宋体" w:cs="宋体"/>
          <w:kern w:val="2"/>
          <w:sz w:val="24"/>
        </w:rPr>
        <w:t>4、甲方未按合同约定提供工作条件或完成配合事项，或者提供工作条件、完成配合事项不符合合同约定影响项目进度和质量的，项目交付期限相应顺延。</w:t>
      </w:r>
    </w:p>
    <w:p w14:paraId="42390713">
      <w:pPr>
        <w:pStyle w:val="6"/>
        <w:spacing w:line="360" w:lineRule="auto"/>
        <w:ind w:firstLineChars="200"/>
        <w:jc w:val="left"/>
        <w:rPr>
          <w:rFonts w:hint="eastAsia" w:ascii="宋体" w:hAnsi="宋体" w:eastAsia="宋体" w:cs="宋体"/>
          <w:color w:val="000000"/>
          <w:sz w:val="24"/>
        </w:rPr>
      </w:pPr>
      <w:r>
        <w:rPr>
          <w:rFonts w:hint="eastAsia" w:ascii="宋体" w:hAnsi="宋体" w:eastAsia="宋体" w:cs="宋体"/>
          <w:kern w:val="2"/>
          <w:sz w:val="24"/>
          <w:szCs w:val="24"/>
        </w:rPr>
        <w:t>5、因甲方违约导致本合同解除的，乙方有权按已履行完毕的服务内容向甲方收取对应合同价款。</w:t>
      </w:r>
    </w:p>
    <w:p w14:paraId="1C3ABFEA">
      <w:pPr>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6、因乙方违约导致合同解除的，乙方应向甲方退还已收的所有款项，并向甲方支付</w:t>
      </w:r>
      <w:r>
        <w:rPr>
          <w:rFonts w:hint="eastAsia" w:ascii="宋体" w:hAnsi="宋体" w:eastAsia="宋体" w:cs="宋体"/>
          <w:sz w:val="24"/>
        </w:rPr>
        <w:t>合同价款总额的</w:t>
      </w:r>
      <w:r>
        <w:rPr>
          <w:rFonts w:hint="eastAsia" w:ascii="宋体" w:hAnsi="宋体" w:eastAsia="宋体" w:cs="宋体"/>
          <w:sz w:val="24"/>
          <w:u w:val="single"/>
        </w:rPr>
        <w:t>20</w:t>
      </w:r>
      <w:r>
        <w:rPr>
          <w:rFonts w:hint="eastAsia" w:ascii="宋体" w:hAnsi="宋体" w:eastAsia="宋体" w:cs="宋体"/>
          <w:sz w:val="24"/>
        </w:rPr>
        <w:t>%违约金。</w:t>
      </w:r>
    </w:p>
    <w:p w14:paraId="027456FE">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第十三条：不可抗力</w:t>
      </w:r>
    </w:p>
    <w:p w14:paraId="2273287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由于无法预见并且对其发生和后果无法防止或避免的事件，如地震、水灾、火灾和其他自然灾害、战争、暴动、和类似的军事行动，民间骚动以及政府的禁运令、禁止令或其他政府限制和行动，或者其他阻止一方履行本合同义务的任何事件或原因（统称：不可抗力事件）。直接致使遇到上述事件的一方（即受阻方）不能履行本合同约定的全部或部分义务的，受阻方应立即书面通知另一方，并在不可抗力事件发生后十五个工作日内提供有关该事件的权威机关的书面材料，包括陈述迟延履行、部分履行或无法履行本合同义务的理由的说明书，方可免责。</w:t>
      </w:r>
    </w:p>
    <w:p w14:paraId="3E37EA1E">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第十四条：纠纷的解决</w:t>
      </w:r>
    </w:p>
    <w:p w14:paraId="0C765743">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本合同在履行过程中发生的与本合同有关的任何争议，由甲、乙双方先行友好协商解决，协商不成的，任何一方有权向甲方所在地人民法院起诉。</w:t>
      </w:r>
    </w:p>
    <w:p w14:paraId="47FBEE98">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第十五条</w:t>
      </w:r>
      <w:r>
        <w:rPr>
          <w:rFonts w:hint="eastAsia" w:ascii="宋体" w:hAnsi="宋体" w:eastAsia="宋体" w:cs="宋体"/>
          <w:color w:val="000000"/>
          <w:sz w:val="24"/>
        </w:rPr>
        <w:t>：本合同一式肆份，甲乙双方各执贰份，均具有同等法律效力。</w:t>
      </w:r>
    </w:p>
    <w:p w14:paraId="75C9DA89">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第十六条</w:t>
      </w:r>
      <w:r>
        <w:rPr>
          <w:rFonts w:hint="eastAsia" w:ascii="宋体" w:hAnsi="宋体" w:eastAsia="宋体" w:cs="宋体"/>
          <w:color w:val="000000"/>
          <w:sz w:val="24"/>
        </w:rPr>
        <w:t>：本合同未尽事宜，由甲、乙双方另行签订补充协议，补充协议作为合同附件与本合同具有同等法律效力。</w:t>
      </w:r>
    </w:p>
    <w:p w14:paraId="468D29D5">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第十七条</w:t>
      </w:r>
      <w:r>
        <w:rPr>
          <w:rFonts w:hint="eastAsia" w:ascii="宋体" w:hAnsi="宋体" w:eastAsia="宋体" w:cs="宋体"/>
          <w:color w:val="000000"/>
          <w:sz w:val="24"/>
        </w:rPr>
        <w:t>：本合同自甲、乙双方正式授权代表签字并加盖公章之日生效。</w:t>
      </w:r>
    </w:p>
    <w:p w14:paraId="4246D504">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第十八条</w:t>
      </w:r>
      <w:r>
        <w:rPr>
          <w:rFonts w:hint="eastAsia" w:ascii="宋体" w:hAnsi="宋体" w:eastAsia="宋体" w:cs="宋体"/>
          <w:color w:val="000000"/>
          <w:sz w:val="24"/>
        </w:rPr>
        <w:t>：本合同有效期自生效之日起至合同执行完毕时止。</w:t>
      </w:r>
    </w:p>
    <w:p w14:paraId="43FFC73D">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第十九条：</w:t>
      </w:r>
      <w:r>
        <w:rPr>
          <w:rFonts w:hint="eastAsia" w:ascii="宋体" w:hAnsi="宋体" w:eastAsia="宋体" w:cs="宋体"/>
          <w:color w:val="000000"/>
          <w:sz w:val="24"/>
        </w:rPr>
        <w:t>本合同应当按照中华人民共和国的现行法律、法规进行解释。</w:t>
      </w:r>
    </w:p>
    <w:p w14:paraId="378194E5">
      <w:pPr>
        <w:spacing w:line="400" w:lineRule="exact"/>
        <w:ind w:firstLine="354" w:firstLineChars="147"/>
        <w:rPr>
          <w:rFonts w:hint="eastAsia" w:ascii="宋体" w:hAnsi="宋体" w:eastAsia="宋体" w:cs="宋体"/>
          <w:b/>
          <w:color w:val="D9D9D9"/>
          <w:sz w:val="24"/>
        </w:rPr>
      </w:pPr>
      <w:r>
        <w:rPr>
          <w:rFonts w:hint="eastAsia" w:ascii="宋体" w:hAnsi="宋体" w:eastAsia="宋体" w:cs="宋体"/>
          <w:b/>
          <w:color w:val="D9D9D9"/>
          <w:sz w:val="24"/>
        </w:rPr>
        <w:t>-----------------------以下无正文-------------------------</w:t>
      </w:r>
    </w:p>
    <w:p w14:paraId="105E0BA2">
      <w:pPr>
        <w:spacing w:line="400" w:lineRule="exact"/>
        <w:rPr>
          <w:rFonts w:hint="eastAsia" w:ascii="宋体" w:hAnsi="宋体" w:eastAsia="宋体" w:cs="宋体"/>
          <w:b/>
          <w:color w:val="000000"/>
          <w:sz w:val="24"/>
        </w:rPr>
      </w:pPr>
    </w:p>
    <w:p w14:paraId="01E05A5D">
      <w:pPr>
        <w:spacing w:line="400" w:lineRule="exact"/>
        <w:jc w:val="left"/>
        <w:rPr>
          <w:rFonts w:hint="eastAsia" w:ascii="宋体" w:hAnsi="宋体" w:eastAsia="宋体" w:cs="宋体"/>
          <w:b/>
          <w:color w:val="000000"/>
          <w:sz w:val="24"/>
        </w:rPr>
      </w:pPr>
      <w:r>
        <w:rPr>
          <w:rFonts w:hint="eastAsia" w:ascii="宋体" w:hAnsi="宋体" w:eastAsia="宋体" w:cs="宋体"/>
          <w:b/>
          <w:color w:val="000000"/>
          <w:sz w:val="24"/>
        </w:rPr>
        <w:t>甲方（盖章）：</w:t>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ab/>
      </w:r>
      <w:r>
        <w:rPr>
          <w:rFonts w:hint="eastAsia" w:ascii="宋体" w:hAnsi="宋体" w:eastAsia="宋体" w:cs="宋体"/>
          <w:b/>
          <w:color w:val="000000"/>
          <w:sz w:val="24"/>
        </w:rPr>
        <w:t>乙方（盖章）：</w:t>
      </w:r>
    </w:p>
    <w:p w14:paraId="6DF295EF">
      <w:pPr>
        <w:spacing w:line="360" w:lineRule="auto"/>
        <w:jc w:val="left"/>
        <w:rPr>
          <w:rFonts w:hint="eastAsia" w:ascii="宋体" w:hAnsi="宋体" w:eastAsia="宋体" w:cs="宋体"/>
          <w:color w:val="000000"/>
          <w:sz w:val="24"/>
        </w:rPr>
      </w:pPr>
      <w:r>
        <w:rPr>
          <w:rFonts w:hint="eastAsia" w:ascii="宋体" w:hAnsi="宋体" w:eastAsia="宋体" w:cs="宋体"/>
          <w:color w:val="000000"/>
          <w:sz w:val="24"/>
        </w:rPr>
        <w:t>单位：</w:t>
      </w:r>
      <w:r>
        <w:rPr>
          <w:rFonts w:hint="eastAsia" w:ascii="宋体" w:hAnsi="宋体" w:eastAsia="宋体" w:cs="宋体"/>
          <w:sz w:val="24"/>
        </w:rPr>
        <w:t>陕西中医药大学附属医院</w:t>
      </w:r>
      <w:r>
        <w:rPr>
          <w:rFonts w:hint="eastAsia" w:ascii="宋体" w:hAnsi="宋体" w:eastAsia="宋体" w:cs="宋体"/>
          <w:color w:val="000000"/>
          <w:sz w:val="24"/>
        </w:rPr>
        <w:t xml:space="preserve">       单位：</w:t>
      </w:r>
    </w:p>
    <w:p w14:paraId="1DD0891E">
      <w:pPr>
        <w:spacing w:line="360" w:lineRule="auto"/>
        <w:ind w:right="-1546" w:rightChars="-644"/>
        <w:jc w:val="left"/>
        <w:rPr>
          <w:rFonts w:hint="eastAsia" w:ascii="宋体" w:hAnsi="宋体" w:eastAsia="宋体" w:cs="宋体"/>
          <w:color w:val="000000"/>
          <w:szCs w:val="21"/>
        </w:rPr>
      </w:pPr>
      <w:r>
        <w:rPr>
          <w:rFonts w:hint="eastAsia" w:ascii="宋体" w:hAnsi="宋体" w:eastAsia="宋体" w:cs="宋体"/>
          <w:color w:val="000000"/>
          <w:sz w:val="24"/>
        </w:rPr>
        <w:t xml:space="preserve">地址：咸阳市渭阳西路副2号         地址：                                     </w:t>
      </w:r>
    </w:p>
    <w:p w14:paraId="416645DE">
      <w:pPr>
        <w:spacing w:line="360" w:lineRule="auto"/>
        <w:jc w:val="center"/>
        <w:rPr>
          <w:rFonts w:hint="eastAsia" w:ascii="宋体" w:hAnsi="宋体" w:eastAsia="宋体" w:cs="宋体"/>
          <w:color w:val="000000"/>
          <w:szCs w:val="21"/>
        </w:rPr>
      </w:pPr>
      <w:r>
        <w:rPr>
          <w:rFonts w:hint="eastAsia" w:ascii="宋体" w:hAnsi="宋体" w:cs="宋体"/>
          <w:color w:val="000000"/>
          <w:sz w:val="24"/>
          <w:lang w:val="en-US" w:eastAsia="zh-CN"/>
        </w:rPr>
        <w:t xml:space="preserve">       </w:t>
      </w:r>
      <w:r>
        <w:rPr>
          <w:rFonts w:hint="eastAsia" w:ascii="宋体" w:hAnsi="宋体" w:eastAsia="宋体" w:cs="宋体"/>
          <w:color w:val="000000"/>
          <w:sz w:val="24"/>
        </w:rPr>
        <w:t>账号：</w:t>
      </w:r>
    </w:p>
    <w:p w14:paraId="4AE3B089">
      <w:pPr>
        <w:spacing w:line="360" w:lineRule="auto"/>
        <w:ind w:left="5520" w:leftChars="800" w:right="-1546" w:rightChars="-644" w:hanging="3600" w:hangingChars="1500"/>
        <w:jc w:val="left"/>
        <w:rPr>
          <w:rFonts w:hint="eastAsia" w:ascii="宋体" w:hAnsi="宋体" w:eastAsia="宋体" w:cs="宋体"/>
          <w:sz w:val="24"/>
        </w:rPr>
      </w:pPr>
      <w:r>
        <w:rPr>
          <w:rFonts w:hint="eastAsia" w:ascii="宋体" w:hAnsi="宋体" w:eastAsia="宋体" w:cs="宋体"/>
          <w:color w:val="000000"/>
          <w:sz w:val="24"/>
        </w:rPr>
        <w:t xml:space="preserve">                     开户行：</w:t>
      </w:r>
    </w:p>
    <w:p w14:paraId="5F8F4C33">
      <w:pPr>
        <w:spacing w:line="360" w:lineRule="auto"/>
        <w:ind w:left="5520" w:hanging="5520" w:hangingChars="2300"/>
        <w:jc w:val="left"/>
        <w:rPr>
          <w:rFonts w:hint="eastAsia" w:ascii="宋体" w:hAnsi="宋体" w:eastAsia="宋体" w:cs="宋体"/>
          <w:color w:val="000000"/>
          <w:sz w:val="24"/>
        </w:rPr>
      </w:pPr>
      <w:r>
        <w:rPr>
          <w:rFonts w:hint="eastAsia" w:ascii="宋体" w:hAnsi="宋体" w:eastAsia="宋体" w:cs="宋体"/>
          <w:color w:val="000000"/>
          <w:sz w:val="24"/>
        </w:rPr>
        <w:t xml:space="preserve">授权代表：                         授权代表：                           </w:t>
      </w:r>
    </w:p>
    <w:p w14:paraId="41A8146B">
      <w:pPr>
        <w:spacing w:line="360" w:lineRule="auto"/>
        <w:rPr>
          <w:rFonts w:hint="eastAsia" w:ascii="宋体" w:hAnsi="宋体" w:eastAsia="宋体" w:cs="宋体"/>
        </w:rPr>
      </w:pPr>
      <w:r>
        <w:rPr>
          <w:rFonts w:hint="eastAsia" w:ascii="宋体" w:hAnsi="宋体" w:eastAsia="宋体" w:cs="宋体"/>
          <w:color w:val="000000"/>
          <w:sz w:val="24"/>
        </w:rPr>
        <w:t>签订时间：      年   月   日       签订时间：       年   月   日</w:t>
      </w:r>
    </w:p>
    <w:p w14:paraId="776FF57C">
      <w:pPr>
        <w:pStyle w:val="11"/>
        <w:rPr>
          <w:rFonts w:hint="eastAsia" w:ascii="宋体" w:hAnsi="宋体" w:eastAsia="宋体" w:cs="宋体"/>
          <w:lang w:eastAsia="zh-CN"/>
        </w:rPr>
      </w:pPr>
      <w:r>
        <w:rPr>
          <w:rFonts w:hint="eastAsia" w:ascii="宋体" w:hAnsi="宋体" w:eastAsia="宋体" w:cs="宋体"/>
        </w:rPr>
        <w:t xml:space="preserve"> </w:t>
      </w:r>
    </w:p>
    <w:p w14:paraId="3DEBB36D">
      <w:pPr>
        <w:pStyle w:val="11"/>
        <w:rPr>
          <w:rFonts w:hint="eastAsia" w:ascii="宋体" w:hAnsi="宋体" w:eastAsia="宋体" w:cs="宋体"/>
          <w:lang w:val="en-US" w:eastAsia="zh-CN"/>
        </w:rPr>
      </w:pPr>
    </w:p>
    <w:p w14:paraId="5564595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SimSun">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DE5F5"/>
    <w:multiLevelType w:val="singleLevel"/>
    <w:tmpl w:val="1F7DE5F5"/>
    <w:lvl w:ilvl="0" w:tentative="0">
      <w:start w:val="1"/>
      <w:numFmt w:val="decimal"/>
      <w:suff w:val="nothing"/>
      <w:lvlText w:val="%1、"/>
      <w:lvlJc w:val="left"/>
      <w:rPr>
        <w:rFonts w:hint="default" w:ascii="宋体" w:hAnsi="宋体" w:eastAsia="宋体" w:cs="宋体"/>
        <w:sz w:val="24"/>
        <w:szCs w:val="24"/>
      </w:rPr>
    </w:lvl>
  </w:abstractNum>
  <w:abstractNum w:abstractNumId="1">
    <w:nsid w:val="3EE35660"/>
    <w:multiLevelType w:val="singleLevel"/>
    <w:tmpl w:val="3EE35660"/>
    <w:lvl w:ilvl="0" w:tentative="0">
      <w:start w:val="1"/>
      <w:numFmt w:val="decimal"/>
      <w:suff w:val="nothing"/>
      <w:lvlText w:val="%1、"/>
      <w:lvlJc w:val="left"/>
    </w:lvl>
  </w:abstractNum>
  <w:abstractNum w:abstractNumId="2">
    <w:nsid w:val="46273165"/>
    <w:multiLevelType w:val="singleLevel"/>
    <w:tmpl w:val="4627316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739A2335"/>
    <w:rsid w:val="739A2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tabs>
        <w:tab w:val="left" w:pos="567"/>
      </w:tabs>
      <w:spacing w:before="120" w:line="22" w:lineRule="atLeast"/>
    </w:pPr>
    <w:rPr>
      <w:rFonts w:ascii="宋体" w:hAnsi="宋体" w:eastAsiaTheme="minorEastAsia"/>
    </w:rPr>
  </w:style>
  <w:style w:type="paragraph" w:styleId="4">
    <w:name w:val="Body Text Indent"/>
    <w:basedOn w:val="1"/>
    <w:next w:val="5"/>
    <w:semiHidden/>
    <w:unhideWhenUsed/>
    <w:qFormat/>
    <w:uiPriority w:val="99"/>
    <w:pPr>
      <w:ind w:left="420" w:leftChars="200"/>
    </w:pPr>
  </w:style>
  <w:style w:type="paragraph" w:customStyle="1" w:styleId="5">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6">
    <w:name w:val="Body Text Indent 3"/>
    <w:basedOn w:val="1"/>
    <w:unhideWhenUsed/>
    <w:qFormat/>
    <w:uiPriority w:val="0"/>
    <w:pPr>
      <w:spacing w:line="380" w:lineRule="exact"/>
      <w:ind w:firstLine="480"/>
    </w:pPr>
    <w:rPr>
      <w:rFonts w:ascii="宋体" w:hAnsi="宋体" w:cs="宋体"/>
      <w:kern w:val="0"/>
      <w:sz w:val="20"/>
    </w:rPr>
  </w:style>
  <w:style w:type="paragraph" w:styleId="7">
    <w:name w:val="Body Text First Indent"/>
    <w:basedOn w:val="3"/>
    <w:next w:val="1"/>
    <w:unhideWhenUsed/>
    <w:qFormat/>
    <w:uiPriority w:val="99"/>
    <w:pPr>
      <w:ind w:firstLine="420" w:firstLineChars="100"/>
    </w:pPr>
    <w:rPr>
      <w:szCs w:val="24"/>
    </w:rPr>
  </w:style>
  <w:style w:type="paragraph" w:styleId="8">
    <w:name w:val="Body Text First Indent 2"/>
    <w:basedOn w:val="4"/>
    <w:next w:val="7"/>
    <w:semiHidden/>
    <w:unhideWhenUsed/>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3">
    <w:name w:val="Standard"/>
    <w:autoRedefine/>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2025-05-16T02:43:00Z</dcterms:created>
  <dc:creator>You fire¥no  fire</dc:creator>
  <cp:lastModifiedBy>You fire¥no  fire</cp:lastModifiedBy>
  <dcterms:modified xsi:type="dcterms:W3CDTF">2025-05-16T02:44:18Z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BD48631060FA480BB1272449FBCC60FD_11</vt:lpwstr>
  </property>
</Properties>
</file>