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版本号：2025-HXCT-03020250417001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17号学生宿舍项目工程质量综合第三方检测项目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2025-HXCT-030</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17号学生宿舍项目工程质量综合第三方检测项目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2025-HXCT-030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17号学生宿舍项目工程质量综合第三方检测项目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满足新建 17 号学生宿舍项目施工进度和质量需求，对施工材料、隐蔽工程、基础工程等进行现场检测及实验室检测，对建筑物及周边基坑、相邻建筑进行监测和沉降观测。需满足甲方竣工验收标准的要求。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主体证明文件：投标人应具有独立承担民事责任的能力且具备向采购人提供相关货物及相应服务的企业法人/事业法人/其他组织，企业法人应提供合法有效的营业执照等证明文件，事业法人应提供合法有效的事业单位法人证等证明文件，其他组织应提供合法有效的证明文件；</w:t>
      </w:r>
    </w:p>
    <w:p>
      <w:pPr>
        <w:pStyle w:val="null3"/>
      </w:pPr>
      <w:r>
        <w:rPr>
          <w:rFonts w:ascii="仿宋_GB2312" w:hAnsi="仿宋_GB2312" w:cs="仿宋_GB2312" w:eastAsia="仿宋_GB2312"/>
        </w:rPr>
        <w:t>2、财务状况报告：投标人需提供2023年度经审计的投标人财务审计报告或者开标前三个月内的银行资信证明或财政部门认可的政府采购专业担保机构出具的投标担保函；</w:t>
      </w:r>
    </w:p>
    <w:p>
      <w:pPr>
        <w:pStyle w:val="null3"/>
      </w:pPr>
      <w:r>
        <w:rPr>
          <w:rFonts w:ascii="仿宋_GB2312" w:hAnsi="仿宋_GB2312" w:cs="仿宋_GB2312" w:eastAsia="仿宋_GB2312"/>
        </w:rPr>
        <w:t>3、税收缴纳证明：提供投标人自2024年10月1日以来已缴纳任意一个月完税凭证或税务机关开具的完税证明（任意税种）；依法免税的应提供相关文件证明；</w:t>
      </w:r>
    </w:p>
    <w:p>
      <w:pPr>
        <w:pStyle w:val="null3"/>
      </w:pPr>
      <w:r>
        <w:rPr>
          <w:rFonts w:ascii="仿宋_GB2312" w:hAnsi="仿宋_GB2312" w:cs="仿宋_GB2312" w:eastAsia="仿宋_GB2312"/>
        </w:rPr>
        <w:t>4、社会保障资金缴纳证明：提供投标人自2024年10月1日以来已缴存的任意一个月的社会保障资金缴存单据或社保机构开具的社会保险参保缴费情况证明；依法不需要缴纳社会保障资金的投标人应提供相关文件证明；</w:t>
      </w:r>
    </w:p>
    <w:p>
      <w:pPr>
        <w:pStyle w:val="null3"/>
      </w:pPr>
      <w:r>
        <w:rPr>
          <w:rFonts w:ascii="仿宋_GB2312" w:hAnsi="仿宋_GB2312" w:cs="仿宋_GB2312" w:eastAsia="仿宋_GB2312"/>
        </w:rPr>
        <w:t>5、履约能力：供应商具备履行合同所必需的设备和专业技术能力的证明</w:t>
      </w:r>
    </w:p>
    <w:p>
      <w:pPr>
        <w:pStyle w:val="null3"/>
      </w:pPr>
      <w:r>
        <w:rPr>
          <w:rFonts w:ascii="仿宋_GB2312" w:hAnsi="仿宋_GB2312" w:cs="仿宋_GB2312" w:eastAsia="仿宋_GB2312"/>
        </w:rPr>
        <w:t>6、授权委托书：法定代表人授权委托书（附法定代表人身份证复印件）及被授权人身份证（法定代表人直接参加投标的只须提供法定代表人身份证原件）；</w:t>
      </w:r>
    </w:p>
    <w:p>
      <w:pPr>
        <w:pStyle w:val="null3"/>
      </w:pPr>
      <w:r>
        <w:rPr>
          <w:rFonts w:ascii="仿宋_GB2312" w:hAnsi="仿宋_GB2312" w:cs="仿宋_GB2312" w:eastAsia="仿宋_GB2312"/>
        </w:rPr>
        <w:t>7、企业资质：投标人须具备省级及以上住房城乡建设主管部门颁发的建设工程质量检测机构综合资质或《建设工程质量检测机构资质证书》，检测范围应包含房屋建筑土建工程建筑材料、构配件进场见证取样检测；地基基础工程检测；钢结构工程检测；主体结构工程检测；既有建筑物结构、使用功能、安全可靠性综合检测、评估、鉴定；民用建筑工程室内环境污染检测；民用建筑节能检测；建筑幕墙工程检测。具备人防工程防护设备检测机构资质认定备案；</w:t>
      </w:r>
    </w:p>
    <w:p>
      <w:pPr>
        <w:pStyle w:val="null3"/>
      </w:pPr>
      <w:r>
        <w:rPr>
          <w:rFonts w:ascii="仿宋_GB2312" w:hAnsi="仿宋_GB2312" w:cs="仿宋_GB2312" w:eastAsia="仿宋_GB2312"/>
        </w:rPr>
        <w:t>8、网站信用：投标人在近三年的经营活动中没有重大违法记录的书面声明；投标人不得在“中国执行信息公开网（http://zxgk.court.gov.cn）”被列为失信被执行人和“信用中国（https://www.creditchina.gov.cn/）”重大税收违法失信主体；</w:t>
      </w:r>
    </w:p>
    <w:p>
      <w:pPr>
        <w:pStyle w:val="null3"/>
      </w:pPr>
      <w:r>
        <w:rPr>
          <w:rFonts w:ascii="仿宋_GB2312" w:hAnsi="仿宋_GB2312" w:cs="仿宋_GB2312" w:eastAsia="仿宋_GB2312"/>
        </w:rPr>
        <w:t>9、关联关系：单位负责人为同一人或者存在直接控股、管理关系的不同供应商，不得参加同一合同项下的活动；</w:t>
      </w:r>
    </w:p>
    <w:p>
      <w:pPr>
        <w:pStyle w:val="null3"/>
      </w:pPr>
      <w:r>
        <w:rPr>
          <w:rFonts w:ascii="仿宋_GB2312" w:hAnsi="仿宋_GB2312" w:cs="仿宋_GB2312" w:eastAsia="仿宋_GB2312"/>
        </w:rPr>
        <w:t>10、联合体：本次招标不接受联合体投标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艾老师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陕西省西安市未央区凤城七路长和国际 D 座 26 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卞兴前、李阳艳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18119311406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陕西科技大学建设工程招标代理协议中招标代理服务费收费标准的有关规定执行。即（60万元（不含）以上得项目收费参考国家计委计价格[2002]1980号文规定之收费标准下浮50%收取；（60万元（含）以下得项目，按项目每项3000元包干收取。）中标单位在领取中标通知书前，须向采购代理机构一次性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（1）项目验收时，验收资料完整；（2）采购人要求的工作目标均已实现；（3）符合部省有关技术规范和要求，并已提交技术成果。</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联系人：李阳艳</w:t>
      </w:r>
    </w:p>
    <w:p>
      <w:pPr>
        <w:pStyle w:val="null3"/>
      </w:pPr>
      <w:r>
        <w:rPr>
          <w:rFonts w:ascii="仿宋_GB2312" w:hAnsi="仿宋_GB2312" w:cs="仿宋_GB2312" w:eastAsia="仿宋_GB2312"/>
        </w:rPr>
        <w:t>联系电话：18119311406</w:t>
      </w:r>
    </w:p>
    <w:p>
      <w:pPr>
        <w:pStyle w:val="null3"/>
      </w:pPr>
      <w:r>
        <w:rPr>
          <w:rFonts w:ascii="仿宋_GB2312" w:hAnsi="仿宋_GB2312" w:cs="仿宋_GB2312" w:eastAsia="仿宋_GB2312"/>
        </w:rPr>
        <w:t>地址：陕西省西安市未央区凤城七路长和国际 D 座 26 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满足新建 17 号学生宿舍项目施工进度和质量需求，对施工材料、隐蔽工程、基础工程等进行现场检测及实验室检测，对建筑物及周边基坑、相邻建筑进行监测和沉降观测，需满足甲方竣工验收标准的要求。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陕西科技大学17号学生宿舍项目工程质量综合第三方检测项目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标的名称：陕西科技大学17号学生宿舍项目工程质量综合第三方检测项目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outlineLvl w:val="1"/>
            </w:pPr>
            <w:r>
              <w:rPr>
                <w:rFonts w:ascii="仿宋_GB2312" w:hAnsi="仿宋_GB2312" w:cs="仿宋_GB2312" w:eastAsia="仿宋_GB2312"/>
                <w:sz w:val="28"/>
                <w:b/>
              </w:rPr>
              <w:t>1.项目概况</w:t>
            </w:r>
          </w:p>
          <w:p>
            <w:pPr>
              <w:pStyle w:val="null3"/>
              <w:ind w:firstLine="420"/>
              <w:jc w:val="both"/>
            </w:pPr>
            <w:r>
              <w:rPr>
                <w:rFonts w:ascii="仿宋_GB2312" w:hAnsi="仿宋_GB2312" w:cs="仿宋_GB2312" w:eastAsia="仿宋_GB2312"/>
                <w:sz w:val="21"/>
              </w:rPr>
              <w:t>项目主要为满足根据新建</w:t>
            </w:r>
            <w:r>
              <w:rPr>
                <w:rFonts w:ascii="仿宋_GB2312" w:hAnsi="仿宋_GB2312" w:cs="仿宋_GB2312" w:eastAsia="仿宋_GB2312"/>
                <w:sz w:val="21"/>
              </w:rPr>
              <w:t>17 号学生宿舍项目施工进度和质量需求，对施工材料、隐蔽工程、基础工程等进行现场检测，对建筑物及周边基坑、相邻建筑进行监测和沉降观测。</w:t>
            </w:r>
            <w:r>
              <w:rPr>
                <w:rFonts w:ascii="仿宋_GB2312" w:hAnsi="仿宋_GB2312" w:cs="仿宋_GB2312" w:eastAsia="仿宋_GB2312"/>
                <w:sz w:val="21"/>
                <w:color w:val="333333"/>
                <w:shd w:fill="FFFFFF" w:val="clear"/>
              </w:rPr>
              <w:t>。</w:t>
            </w:r>
          </w:p>
          <w:p>
            <w:pPr>
              <w:pStyle w:val="null3"/>
              <w:jc w:val="both"/>
              <w:outlineLvl w:val="1"/>
            </w:pPr>
            <w:r>
              <w:rPr>
                <w:rFonts w:ascii="仿宋_GB2312" w:hAnsi="仿宋_GB2312" w:cs="仿宋_GB2312" w:eastAsia="仿宋_GB2312"/>
                <w:sz w:val="28"/>
                <w:b/>
              </w:rPr>
              <w:t>2.技术服务要求</w:t>
            </w:r>
          </w:p>
          <w:tbl>
            <w:tblPr>
              <w:tblBorders>
                <w:top w:val="none" w:color="000000" w:sz="4"/>
                <w:left w:val="none" w:color="000000" w:sz="4"/>
                <w:bottom w:val="none" w:color="000000" w:sz="4"/>
                <w:right w:val="none" w:color="000000" w:sz="4"/>
                <w:insideH w:val="none"/>
                <w:insideV w:val="none"/>
              </w:tblBorders>
            </w:tblPr>
            <w:tblGrid>
              <w:gridCol w:w="150"/>
              <w:gridCol w:w="312"/>
              <w:gridCol w:w="1208"/>
              <w:gridCol w:w="191"/>
            </w:tblGrid>
            <w:tr>
              <w:tc>
                <w:tcPr>
                  <w:tcW w:type="dxa" w:w="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检测项目</w:t>
                  </w:r>
                </w:p>
              </w:tc>
              <w:tc>
                <w:tcPr>
                  <w:tcW w:type="dxa" w:w="1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检测范围内容</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1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基坑支护检测</w:t>
                  </w:r>
                </w:p>
              </w:tc>
              <w:tc>
                <w:tcPr>
                  <w:tcW w:type="dxa" w:w="1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根据检测规范和基坑支护设计图纸对支护结构体系进行检测。</w:t>
                  </w:r>
                </w:p>
              </w:tc>
              <w:tc>
                <w:tcPr>
                  <w:tcW w:type="dxa" w:w="191"/>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具体以图纸、招标文件等文件所涵盖的内容为准，且应满足国家、陕西省、西安市竣工验收要求。</w:t>
                  </w:r>
                </w:p>
                <w:p>
                  <w:pPr>
                    <w:pStyle w:val="null3"/>
                    <w:jc w:val="both"/>
                  </w:pPr>
                </w:p>
              </w:tc>
            </w:tr>
            <w:tr>
              <w:tc>
                <w:tcPr>
                  <w:tcW w:type="dxa" w:w="1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地基基础检测</w:t>
                  </w:r>
                </w:p>
              </w:tc>
              <w:tc>
                <w:tcPr>
                  <w:tcW w:type="dxa" w:w="1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1、浅层平板静载荷试验；</w:t>
                  </w:r>
                </w:p>
                <w:p>
                  <w:pPr>
                    <w:pStyle w:val="null3"/>
                    <w:jc w:val="both"/>
                  </w:pPr>
                  <w:r>
                    <w:rPr>
                      <w:rFonts w:ascii="仿宋_GB2312" w:hAnsi="仿宋_GB2312" w:cs="仿宋_GB2312" w:eastAsia="仿宋_GB2312"/>
                      <w:sz w:val="21"/>
                    </w:rPr>
                    <w:t>2、密实度跟踪。</w:t>
                  </w:r>
                </w:p>
              </w:tc>
              <w:tc>
                <w:tcPr>
                  <w:tcW w:type="dxa" w:w="191"/>
                  <w:vMerge/>
                  <w:tcBorders>
                    <w:top w:val="none" w:color="000000" w:sz="4"/>
                    <w:left w:val="single" w:color="000000" w:sz="4"/>
                    <w:bottom w:val="single" w:color="000000" w:sz="4"/>
                    <w:right w:val="single" w:color="000000" w:sz="4"/>
                  </w:tcBorders>
                </w:tcPr>
                <w:p/>
              </w:tc>
            </w:tr>
            <w:tr>
              <w:tc>
                <w:tcPr>
                  <w:tcW w:type="dxa" w:w="1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土建原材常规见证取样</w:t>
                  </w:r>
                </w:p>
              </w:tc>
              <w:tc>
                <w:tcPr>
                  <w:tcW w:type="dxa" w:w="1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钢筋原材：力学、重量偏差；</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焊接：拉伸；</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机械连接：拉伸、残余变形；</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水泥：强度、安定性、凝结时间、标准稠度用水量；</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烧结砖、多孔砖实心砖：抗压强度、尺寸偏差、外观质量；</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砌块、</w:t>
                  </w:r>
                  <w:r>
                    <w:rPr>
                      <w:rFonts w:ascii="仿宋_GB2312" w:hAnsi="仿宋_GB2312" w:cs="仿宋_GB2312" w:eastAsia="仿宋_GB2312"/>
                      <w:sz w:val="21"/>
                    </w:rPr>
                    <w:t>ALC条板：抗压强度、尺寸偏差、外观质量、干密度；</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砂：含泥量、泥块含量、颗粒级配、石粉含量；</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卵石（碎石）：含泥量、颗粒级配、压碎指标、针片状含量；</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普通混凝土：配合比设计；</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混凝土立方体：抗压强度；</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普通砂浆：配合比设计；</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砂浆立方体：抗压强度；</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混凝土试块：抗渗试验；</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土壤：土工击实；</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防水涂料（聚氨酯）：拉伸强度、断裂伸长率、不透水性、低温弯折、固体含量、表干时间、实干时间；</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防水卷材：拉伸强度、延伸率、不透水性、低温柔性、耐热性；</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高强螺栓：扭矩系数；</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防火材料：在容器中的状态、</w:t>
                  </w:r>
                  <w:r>
                    <w:rPr>
                      <w:rFonts w:ascii="仿宋_GB2312" w:hAnsi="仿宋_GB2312" w:cs="仿宋_GB2312" w:eastAsia="仿宋_GB2312"/>
                      <w:sz w:val="21"/>
                    </w:rPr>
                    <w:t>PH值、干密度、粘结强度；</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高强螺栓钢板连接件：抗滑移；</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混凝土防冻剂：常规检测。</w:t>
                  </w:r>
                </w:p>
              </w:tc>
              <w:tc>
                <w:tcPr>
                  <w:tcW w:type="dxa" w:w="191"/>
                  <w:vMerge/>
                  <w:tcBorders>
                    <w:top w:val="none" w:color="000000" w:sz="4"/>
                    <w:left w:val="single" w:color="000000" w:sz="4"/>
                    <w:bottom w:val="single" w:color="000000" w:sz="4"/>
                    <w:right w:val="single" w:color="000000" w:sz="4"/>
                  </w:tcBorders>
                </w:tcPr>
                <w:p/>
              </w:tc>
            </w:tr>
            <w:tr>
              <w:tc>
                <w:tcPr>
                  <w:tcW w:type="dxa" w:w="1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主体结构工程检测项目</w:t>
                  </w:r>
                </w:p>
              </w:tc>
              <w:tc>
                <w:tcPr>
                  <w:tcW w:type="dxa" w:w="1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1、混凝土结构回弹测强；</w:t>
                  </w:r>
                </w:p>
                <w:p>
                  <w:pPr>
                    <w:pStyle w:val="null3"/>
                    <w:jc w:val="left"/>
                  </w:pPr>
                  <w:r>
                    <w:rPr>
                      <w:rFonts w:ascii="仿宋_GB2312" w:hAnsi="仿宋_GB2312" w:cs="仿宋_GB2312" w:eastAsia="仿宋_GB2312"/>
                      <w:sz w:val="21"/>
                    </w:rPr>
                    <w:t>2、钢筋保护层厚度检测；</w:t>
                  </w:r>
                </w:p>
                <w:p>
                  <w:pPr>
                    <w:pStyle w:val="null3"/>
                    <w:jc w:val="left"/>
                  </w:pPr>
                  <w:r>
                    <w:rPr>
                      <w:rFonts w:ascii="仿宋_GB2312" w:hAnsi="仿宋_GB2312" w:cs="仿宋_GB2312" w:eastAsia="仿宋_GB2312"/>
                      <w:sz w:val="21"/>
                    </w:rPr>
                    <w:t>3、二次结构植筋拉拔检测。</w:t>
                  </w:r>
                </w:p>
              </w:tc>
              <w:tc>
                <w:tcPr>
                  <w:tcW w:type="dxa" w:w="191"/>
                  <w:vMerge/>
                  <w:tcBorders>
                    <w:top w:val="none" w:color="000000" w:sz="4"/>
                    <w:left w:val="single" w:color="000000" w:sz="4"/>
                    <w:bottom w:val="single" w:color="000000" w:sz="4"/>
                    <w:right w:val="single" w:color="000000" w:sz="4"/>
                  </w:tcBorders>
                </w:tcPr>
                <w:p/>
              </w:tc>
            </w:tr>
            <w:tr>
              <w:tc>
                <w:tcPr>
                  <w:tcW w:type="dxa" w:w="1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基坑监测</w:t>
                  </w:r>
                </w:p>
              </w:tc>
              <w:tc>
                <w:tcPr>
                  <w:tcW w:type="dxa" w:w="1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1、水平位移监测基准控制点设置及监测点制作埋设；</w:t>
                  </w:r>
                </w:p>
                <w:p>
                  <w:pPr>
                    <w:pStyle w:val="null3"/>
                    <w:jc w:val="both"/>
                  </w:pPr>
                  <w:r>
                    <w:rPr>
                      <w:rFonts w:ascii="仿宋_GB2312" w:hAnsi="仿宋_GB2312" w:cs="仿宋_GB2312" w:eastAsia="仿宋_GB2312"/>
                      <w:sz w:val="21"/>
                    </w:rPr>
                    <w:t>2、建立水平位移监测控制网，控制网的定期监测；</w:t>
                  </w:r>
                </w:p>
                <w:p>
                  <w:pPr>
                    <w:pStyle w:val="null3"/>
                    <w:jc w:val="both"/>
                  </w:pPr>
                  <w:r>
                    <w:rPr>
                      <w:rFonts w:ascii="仿宋_GB2312" w:hAnsi="仿宋_GB2312" w:cs="仿宋_GB2312" w:eastAsia="仿宋_GB2312"/>
                      <w:sz w:val="21"/>
                    </w:rPr>
                    <w:t>3、基坑边坡顶部水平位移监测；</w:t>
                  </w:r>
                </w:p>
                <w:p>
                  <w:pPr>
                    <w:pStyle w:val="null3"/>
                    <w:jc w:val="both"/>
                  </w:pPr>
                  <w:r>
                    <w:rPr>
                      <w:rFonts w:ascii="仿宋_GB2312" w:hAnsi="仿宋_GB2312" w:cs="仿宋_GB2312" w:eastAsia="仿宋_GB2312"/>
                      <w:sz w:val="21"/>
                    </w:rPr>
                    <w:t>4、技术设计、踏勘、选点在观测区建立竖向位移观测基准点；</w:t>
                  </w:r>
                </w:p>
                <w:p>
                  <w:pPr>
                    <w:pStyle w:val="null3"/>
                    <w:jc w:val="both"/>
                  </w:pPr>
                  <w:r>
                    <w:rPr>
                      <w:rFonts w:ascii="仿宋_GB2312" w:hAnsi="仿宋_GB2312" w:cs="仿宋_GB2312" w:eastAsia="仿宋_GB2312"/>
                      <w:sz w:val="21"/>
                    </w:rPr>
                    <w:t>5、建立竖向位移观测基准控制网，控制网的定期监测。</w:t>
                  </w:r>
                </w:p>
              </w:tc>
              <w:tc>
                <w:tcPr>
                  <w:tcW w:type="dxa" w:w="191"/>
                  <w:vMerge/>
                  <w:tcBorders>
                    <w:top w:val="none" w:color="000000" w:sz="4"/>
                    <w:left w:val="single" w:color="000000" w:sz="4"/>
                    <w:bottom w:val="single" w:color="000000" w:sz="4"/>
                    <w:right w:val="single" w:color="000000" w:sz="4"/>
                  </w:tcBorders>
                </w:tcPr>
                <w:p/>
              </w:tc>
            </w:tr>
            <w:tr>
              <w:tc>
                <w:tcPr>
                  <w:tcW w:type="dxa" w:w="1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建筑物沉降观测</w:t>
                  </w:r>
                </w:p>
              </w:tc>
              <w:tc>
                <w:tcPr>
                  <w:tcW w:type="dxa" w:w="1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1、技术设计、踏勘、选点在观测区建立沉降观测基准点；</w:t>
                  </w:r>
                </w:p>
                <w:p>
                  <w:pPr>
                    <w:pStyle w:val="null3"/>
                    <w:jc w:val="both"/>
                  </w:pPr>
                  <w:r>
                    <w:rPr>
                      <w:rFonts w:ascii="仿宋_GB2312" w:hAnsi="仿宋_GB2312" w:cs="仿宋_GB2312" w:eastAsia="仿宋_GB2312"/>
                      <w:sz w:val="21"/>
                    </w:rPr>
                    <w:t>2、建立沉降观测基准控制网；</w:t>
                  </w:r>
                </w:p>
                <w:p>
                  <w:pPr>
                    <w:pStyle w:val="null3"/>
                    <w:jc w:val="both"/>
                  </w:pPr>
                  <w:r>
                    <w:rPr>
                      <w:rFonts w:ascii="仿宋_GB2312" w:hAnsi="仿宋_GB2312" w:cs="仿宋_GB2312" w:eastAsia="仿宋_GB2312"/>
                      <w:sz w:val="21"/>
                    </w:rPr>
                    <w:t>3、控制网的定期监测。</w:t>
                  </w:r>
                </w:p>
              </w:tc>
              <w:tc>
                <w:tcPr>
                  <w:tcW w:type="dxa" w:w="191"/>
                  <w:vMerge/>
                  <w:tcBorders>
                    <w:top w:val="none" w:color="000000" w:sz="4"/>
                    <w:left w:val="single" w:color="000000" w:sz="4"/>
                    <w:bottom w:val="single" w:color="000000" w:sz="4"/>
                    <w:right w:val="single" w:color="000000" w:sz="4"/>
                  </w:tcBorders>
                </w:tcPr>
                <w:p/>
              </w:tc>
            </w:tr>
            <w:tr>
              <w:tc>
                <w:tcPr>
                  <w:tcW w:type="dxa" w:w="1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安装材料检测</w:t>
                  </w:r>
                </w:p>
              </w:tc>
              <w:tc>
                <w:tcPr>
                  <w:tcW w:type="dxa" w:w="1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PVC/PPR/PE/PP：外径、壁厚、纵向回缩率；</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双壁波纹管：环刚度、环柔性、烘箱实验、冲击试验；</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止水带：硬度、拉伸强度、扯断伸长率、撕裂强度；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止水条：体积膨胀倍率、高温流淌性、低温试验</w:t>
                  </w:r>
                </w:p>
              </w:tc>
              <w:tc>
                <w:tcPr>
                  <w:tcW w:type="dxa" w:w="191"/>
                  <w:vMerge/>
                  <w:tcBorders>
                    <w:top w:val="none" w:color="000000" w:sz="4"/>
                    <w:left w:val="single" w:color="000000" w:sz="4"/>
                    <w:bottom w:val="single" w:color="000000" w:sz="4"/>
                    <w:right w:val="single" w:color="000000" w:sz="4"/>
                  </w:tcBorders>
                </w:tcPr>
                <w:p/>
              </w:tc>
            </w:tr>
            <w:tr>
              <w:tc>
                <w:tcPr>
                  <w:tcW w:type="dxa" w:w="15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1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建筑节能检测</w:t>
                  </w:r>
                </w:p>
              </w:tc>
              <w:tc>
                <w:tcPr>
                  <w:tcW w:type="dxa" w:w="1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1、屋面节能工程：130厚XPS板常规、燃烧性能（B1）；</w:t>
                  </w:r>
                </w:p>
              </w:tc>
              <w:tc>
                <w:tcPr>
                  <w:tcW w:type="dxa" w:w="191"/>
                  <w:vMerge/>
                  <w:tcBorders>
                    <w:top w:val="none" w:color="000000" w:sz="4"/>
                    <w:left w:val="single" w:color="000000" w:sz="4"/>
                    <w:bottom w:val="single" w:color="000000" w:sz="4"/>
                    <w:right w:val="single" w:color="000000" w:sz="4"/>
                  </w:tcBorders>
                </w:tcPr>
                <w:p/>
              </w:tc>
            </w:tr>
            <w:tr>
              <w:tc>
                <w:tcPr>
                  <w:tcW w:type="dxa" w:w="150"/>
                  <w:vMerge/>
                  <w:tcBorders>
                    <w:top w:val="none" w:color="000000" w:sz="4"/>
                    <w:left w:val="single" w:color="000000" w:sz="4"/>
                    <w:bottom w:val="single" w:color="000000" w:sz="4"/>
                    <w:right w:val="single" w:color="000000" w:sz="4"/>
                  </w:tcBorders>
                </w:tcPr>
                <w:p/>
              </w:tc>
              <w:tc>
                <w:tcPr>
                  <w:tcW w:type="dxa" w:w="312"/>
                  <w:vMerge/>
                  <w:tcBorders>
                    <w:top w:val="none" w:color="000000" w:sz="4"/>
                    <w:left w:val="single" w:color="000000" w:sz="4"/>
                    <w:bottom w:val="single" w:color="000000" w:sz="4"/>
                    <w:right w:val="single" w:color="000000" w:sz="4"/>
                  </w:tcBorders>
                </w:tcPr>
                <w:p/>
              </w:tc>
              <w:tc>
                <w:tcPr>
                  <w:tcW w:type="dxa" w:w="1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2、墙体节能工程：</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1）外墙：100厚硬质岩棉板（常规、燃烧（A1））、粘结材料（拉伸粘结强度）、抹面材料（拉伸粘结强度、压折比）、锚栓（抗拉承载力）、增强网（力学性能、抗腐蚀性能）；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2）架空或外挑楼板：100厚硬质岩棉板（常规、燃烧（A1））</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3）采暖与非采暖楼板(地下一层顶板）：70厚硬质岩棉板（常规、燃烧（A1））</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4）非采暖空调房间与采暖空调房间的隔墙：30厚玻化微珠保温砂浆（常规、燃烧（A1））</w:t>
                  </w:r>
                </w:p>
              </w:tc>
              <w:tc>
                <w:tcPr>
                  <w:tcW w:type="dxa" w:w="191"/>
                  <w:vMerge/>
                  <w:tcBorders>
                    <w:top w:val="none" w:color="000000" w:sz="4"/>
                    <w:left w:val="single" w:color="000000" w:sz="4"/>
                    <w:bottom w:val="single" w:color="000000" w:sz="4"/>
                    <w:right w:val="single" w:color="000000" w:sz="4"/>
                  </w:tcBorders>
                </w:tcPr>
                <w:p/>
              </w:tc>
            </w:tr>
            <w:tr>
              <w:tc>
                <w:tcPr>
                  <w:tcW w:type="dxa" w:w="150"/>
                  <w:vMerge/>
                  <w:tcBorders>
                    <w:top w:val="none" w:color="000000" w:sz="4"/>
                    <w:left w:val="single" w:color="000000" w:sz="4"/>
                    <w:bottom w:val="single" w:color="000000" w:sz="4"/>
                    <w:right w:val="single" w:color="000000" w:sz="4"/>
                  </w:tcBorders>
                </w:tcPr>
                <w:p/>
              </w:tc>
              <w:tc>
                <w:tcPr>
                  <w:tcW w:type="dxa" w:w="312"/>
                  <w:vMerge/>
                  <w:tcBorders>
                    <w:top w:val="none" w:color="000000" w:sz="4"/>
                    <w:left w:val="single" w:color="000000" w:sz="4"/>
                    <w:bottom w:val="single" w:color="000000" w:sz="4"/>
                    <w:right w:val="single" w:color="000000" w:sz="4"/>
                  </w:tcBorders>
                </w:tcPr>
                <w:p/>
              </w:tc>
              <w:tc>
                <w:tcPr>
                  <w:tcW w:type="dxa" w:w="1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3、门窗节能工程：</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1）外窗：气密性、水密性、抗风压性能、传热系数、露点；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玻璃：可见光透射比、遮阳系数。</w:t>
                  </w:r>
                </w:p>
              </w:tc>
              <w:tc>
                <w:tcPr>
                  <w:tcW w:type="dxa" w:w="191"/>
                  <w:vMerge/>
                  <w:tcBorders>
                    <w:top w:val="none" w:color="000000" w:sz="4"/>
                    <w:left w:val="single" w:color="000000" w:sz="4"/>
                    <w:bottom w:val="single" w:color="000000" w:sz="4"/>
                    <w:right w:val="single" w:color="000000" w:sz="4"/>
                  </w:tcBorders>
                </w:tcPr>
                <w:p/>
              </w:tc>
            </w:tr>
            <w:tr>
              <w:tc>
                <w:tcPr>
                  <w:tcW w:type="dxa" w:w="150"/>
                  <w:vMerge/>
                  <w:tcBorders>
                    <w:top w:val="none" w:color="000000" w:sz="4"/>
                    <w:left w:val="single" w:color="000000" w:sz="4"/>
                    <w:bottom w:val="single" w:color="000000" w:sz="4"/>
                    <w:right w:val="single" w:color="000000" w:sz="4"/>
                  </w:tcBorders>
                </w:tcPr>
                <w:p/>
              </w:tc>
              <w:tc>
                <w:tcPr>
                  <w:tcW w:type="dxa" w:w="312"/>
                  <w:vMerge/>
                  <w:tcBorders>
                    <w:top w:val="none" w:color="000000" w:sz="4"/>
                    <w:left w:val="single" w:color="000000" w:sz="4"/>
                    <w:bottom w:val="single" w:color="000000" w:sz="4"/>
                    <w:right w:val="single" w:color="000000" w:sz="4"/>
                  </w:tcBorders>
                </w:tcPr>
                <w:p/>
              </w:tc>
              <w:tc>
                <w:tcPr>
                  <w:tcW w:type="dxa" w:w="1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4、电线电缆：</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1）电线：导体电阻、绝缘厚度、单根燃烧；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2）电缆：导体电阻、绝缘、单根燃烧。</w:t>
                  </w:r>
                </w:p>
              </w:tc>
              <w:tc>
                <w:tcPr>
                  <w:tcW w:type="dxa" w:w="191"/>
                  <w:vMerge/>
                  <w:tcBorders>
                    <w:top w:val="none" w:color="000000" w:sz="4"/>
                    <w:left w:val="single" w:color="000000" w:sz="4"/>
                    <w:bottom w:val="single" w:color="000000" w:sz="4"/>
                    <w:right w:val="single" w:color="000000" w:sz="4"/>
                  </w:tcBorders>
                </w:tcPr>
                <w:p/>
              </w:tc>
            </w:tr>
            <w:tr>
              <w:tc>
                <w:tcPr>
                  <w:tcW w:type="dxa" w:w="150"/>
                  <w:vMerge/>
                  <w:tcBorders>
                    <w:top w:val="none" w:color="000000" w:sz="4"/>
                    <w:left w:val="single" w:color="000000" w:sz="4"/>
                    <w:bottom w:val="single" w:color="000000" w:sz="4"/>
                    <w:right w:val="single" w:color="000000" w:sz="4"/>
                  </w:tcBorders>
                </w:tcPr>
                <w:p/>
              </w:tc>
              <w:tc>
                <w:tcPr>
                  <w:tcW w:type="dxa" w:w="312"/>
                  <w:vMerge/>
                  <w:tcBorders>
                    <w:top w:val="none" w:color="000000" w:sz="4"/>
                    <w:left w:val="single" w:color="000000" w:sz="4"/>
                    <w:bottom w:val="single" w:color="000000" w:sz="4"/>
                    <w:right w:val="single" w:color="000000" w:sz="4"/>
                  </w:tcBorders>
                </w:tcPr>
                <w:p/>
              </w:tc>
              <w:tc>
                <w:tcPr>
                  <w:tcW w:type="dxa" w:w="1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b/>
                    </w:rPr>
                    <w:t>节能现场检测：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外墙节能构造钻芯；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锚固力现场拉拔试</w:t>
                  </w:r>
                  <w:r>
                    <w:rPr>
                      <w:rFonts w:ascii="仿宋_GB2312" w:hAnsi="仿宋_GB2312" w:cs="仿宋_GB2312" w:eastAsia="仿宋_GB2312"/>
                      <w:sz w:val="21"/>
                    </w:rPr>
                    <w:t>/锚栓拉拔力检验；</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外窗气密性现场检测。</w:t>
                  </w:r>
                </w:p>
              </w:tc>
              <w:tc>
                <w:tcPr>
                  <w:tcW w:type="dxa" w:w="191"/>
                  <w:vMerge/>
                  <w:tcBorders>
                    <w:top w:val="none" w:color="000000" w:sz="4"/>
                    <w:left w:val="single" w:color="000000" w:sz="4"/>
                    <w:bottom w:val="single" w:color="000000" w:sz="4"/>
                    <w:right w:val="single" w:color="000000" w:sz="4"/>
                  </w:tcBorders>
                </w:tcPr>
                <w:p/>
              </w:tc>
            </w:tr>
            <w:tr>
              <w:tc>
                <w:tcPr>
                  <w:tcW w:type="dxa" w:w="150"/>
                  <w:vMerge/>
                  <w:tcBorders>
                    <w:top w:val="none" w:color="000000" w:sz="4"/>
                    <w:left w:val="single" w:color="000000" w:sz="4"/>
                    <w:bottom w:val="single" w:color="000000" w:sz="4"/>
                    <w:right w:val="single" w:color="000000" w:sz="4"/>
                  </w:tcBorders>
                </w:tcPr>
                <w:p/>
              </w:tc>
              <w:tc>
                <w:tcPr>
                  <w:tcW w:type="dxa" w:w="312"/>
                  <w:vMerge/>
                  <w:tcBorders>
                    <w:top w:val="none" w:color="000000" w:sz="4"/>
                    <w:left w:val="single" w:color="000000" w:sz="4"/>
                    <w:bottom w:val="single" w:color="000000" w:sz="4"/>
                    <w:right w:val="single" w:color="000000" w:sz="4"/>
                  </w:tcBorders>
                </w:tcPr>
                <w:p/>
              </w:tc>
              <w:tc>
                <w:tcPr>
                  <w:tcW w:type="dxa" w:w="1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6、围护结构工程：传热系数</w:t>
                  </w:r>
                </w:p>
              </w:tc>
              <w:tc>
                <w:tcPr>
                  <w:tcW w:type="dxa" w:w="191"/>
                  <w:vMerge/>
                  <w:tcBorders>
                    <w:top w:val="none" w:color="000000" w:sz="4"/>
                    <w:left w:val="single" w:color="000000" w:sz="4"/>
                    <w:bottom w:val="single" w:color="000000" w:sz="4"/>
                    <w:right w:val="single" w:color="000000" w:sz="4"/>
                  </w:tcBorders>
                </w:tcPr>
                <w:p/>
              </w:tc>
            </w:tr>
            <w:tr>
              <w:tc>
                <w:tcPr>
                  <w:tcW w:type="dxa" w:w="150"/>
                  <w:vMerge/>
                  <w:tcBorders>
                    <w:top w:val="none" w:color="000000" w:sz="4"/>
                    <w:left w:val="single" w:color="000000" w:sz="4"/>
                    <w:bottom w:val="single" w:color="000000" w:sz="4"/>
                    <w:right w:val="single" w:color="000000" w:sz="4"/>
                  </w:tcBorders>
                </w:tcPr>
                <w:p/>
              </w:tc>
              <w:tc>
                <w:tcPr>
                  <w:tcW w:type="dxa" w:w="312"/>
                  <w:vMerge/>
                  <w:tcBorders>
                    <w:top w:val="none" w:color="000000" w:sz="4"/>
                    <w:left w:val="single" w:color="000000" w:sz="4"/>
                    <w:bottom w:val="single" w:color="000000" w:sz="4"/>
                    <w:right w:val="single" w:color="000000" w:sz="4"/>
                  </w:tcBorders>
                </w:tcPr>
                <w:p/>
              </w:tc>
              <w:tc>
                <w:tcPr>
                  <w:tcW w:type="dxa" w:w="1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7、幕墙工程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b/>
                    </w:rPr>
                    <w:t>玻璃幕墙：气密性能、水密性能、抗风压性能、层间变形性能；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2）玻璃：传热系数；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3）硅酮结构密封胶：常规、相容性。</w:t>
                  </w:r>
                </w:p>
              </w:tc>
              <w:tc>
                <w:tcPr>
                  <w:tcW w:type="dxa" w:w="191"/>
                  <w:vMerge/>
                  <w:tcBorders>
                    <w:top w:val="none" w:color="000000" w:sz="4"/>
                    <w:left w:val="single" w:color="000000" w:sz="4"/>
                    <w:bottom w:val="single" w:color="000000" w:sz="4"/>
                    <w:right w:val="single" w:color="000000" w:sz="4"/>
                  </w:tcBorders>
                </w:tcPr>
                <w:p/>
              </w:tc>
            </w:tr>
            <w:tr>
              <w:tc>
                <w:tcPr>
                  <w:tcW w:type="dxa" w:w="1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建筑室内空气污染物检测</w:t>
                  </w:r>
                </w:p>
              </w:tc>
              <w:tc>
                <w:tcPr>
                  <w:tcW w:type="dxa" w:w="1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室内空气质量检测：甲醛、氨、苯、甲苯、二甲苯、</w:t>
                  </w:r>
                  <w:r>
                    <w:rPr>
                      <w:rFonts w:ascii="仿宋_GB2312" w:hAnsi="仿宋_GB2312" w:cs="仿宋_GB2312" w:eastAsia="仿宋_GB2312"/>
                      <w:sz w:val="21"/>
                    </w:rPr>
                    <w:t>TVOC、氡；</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装饰装修材料污染物检测</w:t>
                  </w:r>
                  <w:r>
                    <w:rPr>
                      <w:rFonts w:ascii="仿宋_GB2312" w:hAnsi="仿宋_GB2312" w:cs="仿宋_GB2312" w:eastAsia="仿宋_GB2312"/>
                      <w:sz w:val="21"/>
                    </w:rPr>
                    <w:t>：放射性、游离甲醛释放量、游离甲醛含量、</w:t>
                  </w:r>
                  <w:r>
                    <w:rPr>
                      <w:rFonts w:ascii="仿宋_GB2312" w:hAnsi="仿宋_GB2312" w:cs="仿宋_GB2312" w:eastAsia="仿宋_GB2312"/>
                      <w:sz w:val="21"/>
                    </w:rPr>
                    <w:t>VOC。</w:t>
                  </w:r>
                </w:p>
              </w:tc>
              <w:tc>
                <w:tcPr>
                  <w:tcW w:type="dxa" w:w="191"/>
                  <w:vMerge/>
                  <w:tcBorders>
                    <w:top w:val="none" w:color="000000" w:sz="4"/>
                    <w:left w:val="single" w:color="000000" w:sz="4"/>
                    <w:bottom w:val="single" w:color="000000" w:sz="4"/>
                    <w:right w:val="single" w:color="000000" w:sz="4"/>
                  </w:tcBorders>
                </w:tcPr>
                <w:p/>
              </w:tc>
            </w:tr>
            <w:tr>
              <w:tc>
                <w:tcPr>
                  <w:tcW w:type="dxa" w:w="1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空调系统检测</w:t>
                  </w:r>
                </w:p>
              </w:tc>
              <w:tc>
                <w:tcPr>
                  <w:tcW w:type="dxa" w:w="1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风机盘管：供冷量、供热量、风量、水阻、输入功率、供冷能效系数（</w:t>
                  </w:r>
                  <w:r>
                    <w:rPr>
                      <w:rFonts w:ascii="仿宋_GB2312" w:hAnsi="仿宋_GB2312" w:cs="仿宋_GB2312" w:eastAsia="仿宋_GB2312"/>
                      <w:sz w:val="21"/>
                    </w:rPr>
                    <w:t>FCEER）、供暖能效系数（FCCOP）/噪声；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暖通、空调系统检测：风系统送、回风温度；风系统风速；风系统动压、静压；水系统温度；电气参数（电流、电压、功率、功率因素）；制冷（热）量；冷水（热泵）机组性能系数（</w:t>
                  </w:r>
                  <w:r>
                    <w:rPr>
                      <w:rFonts w:ascii="仿宋_GB2312" w:hAnsi="仿宋_GB2312" w:cs="仿宋_GB2312" w:eastAsia="仿宋_GB2312"/>
                      <w:sz w:val="21"/>
                    </w:rPr>
                    <w:t>COP）；冷源系统能效系数；室内环境噪声。</w:t>
                  </w:r>
                </w:p>
              </w:tc>
              <w:tc>
                <w:tcPr>
                  <w:tcW w:type="dxa" w:w="191"/>
                  <w:vMerge/>
                  <w:tcBorders>
                    <w:top w:val="none" w:color="000000" w:sz="4"/>
                    <w:left w:val="single" w:color="000000" w:sz="4"/>
                    <w:bottom w:val="single" w:color="000000" w:sz="4"/>
                    <w:right w:val="single" w:color="000000" w:sz="4"/>
                  </w:tcBorders>
                </w:tcPr>
                <w:p/>
              </w:tc>
            </w:tr>
            <w:tr>
              <w:tc>
                <w:tcPr>
                  <w:tcW w:type="dxa" w:w="1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消防检测</w:t>
                  </w:r>
                </w:p>
              </w:tc>
              <w:tc>
                <w:tcPr>
                  <w:tcW w:type="dxa" w:w="1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室内消火栓系统；</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火灾自动报警系统；</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电气火灾漏电报警系统；</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消防电源监控系统；</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防火门监控系统；</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喷淋系统；</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防排烟系统；</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防火卷帘、防火门系统；</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应急照明和疏散指示系统；</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气体灭火系统等其它消防设施。</w:t>
                  </w:r>
                </w:p>
              </w:tc>
              <w:tc>
                <w:tcPr>
                  <w:tcW w:type="dxa" w:w="191"/>
                  <w:vMerge/>
                  <w:tcBorders>
                    <w:top w:val="none" w:color="000000" w:sz="4"/>
                    <w:left w:val="single" w:color="000000" w:sz="4"/>
                    <w:bottom w:val="single" w:color="000000" w:sz="4"/>
                    <w:right w:val="single" w:color="000000" w:sz="4"/>
                  </w:tcBorders>
                </w:tcPr>
                <w:p/>
              </w:tc>
            </w:tr>
            <w:tr>
              <w:tc>
                <w:tcPr>
                  <w:tcW w:type="dxa" w:w="1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人防检测</w:t>
                  </w:r>
                </w:p>
              </w:tc>
              <w:tc>
                <w:tcPr>
                  <w:tcW w:type="dxa" w:w="1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人防防护设备检测；</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人防通风系统检测。</w:t>
                  </w:r>
                </w:p>
              </w:tc>
              <w:tc>
                <w:tcPr>
                  <w:tcW w:type="dxa" w:w="191"/>
                  <w:vMerge/>
                  <w:tcBorders>
                    <w:top w:val="none" w:color="000000" w:sz="4"/>
                    <w:left w:val="single" w:color="000000" w:sz="4"/>
                    <w:bottom w:val="single" w:color="000000" w:sz="4"/>
                    <w:right w:val="single" w:color="000000" w:sz="4"/>
                  </w:tcBorders>
                </w:tcPr>
                <w:p/>
              </w:tc>
            </w:tr>
            <w:tr>
              <w:tc>
                <w:tcPr>
                  <w:tcW w:type="dxa" w:w="1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土壤氡检测</w:t>
                  </w:r>
                </w:p>
              </w:tc>
              <w:tc>
                <w:tcPr>
                  <w:tcW w:type="dxa" w:w="1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b/>
                    </w:rPr>
                    <w:t>土壤氡浓度。</w:t>
                  </w:r>
                </w:p>
              </w:tc>
              <w:tc>
                <w:tcPr>
                  <w:tcW w:type="dxa" w:w="191"/>
                  <w:vMerge/>
                  <w:tcBorders>
                    <w:top w:val="none" w:color="000000" w:sz="4"/>
                    <w:left w:val="single" w:color="000000" w:sz="4"/>
                    <w:bottom w:val="single" w:color="000000" w:sz="4"/>
                    <w:right w:val="single" w:color="000000" w:sz="4"/>
                  </w:tcBorders>
                </w:tcPr>
                <w:p/>
              </w:tc>
            </w:tr>
            <w:tr>
              <w:tc>
                <w:tcPr>
                  <w:tcW w:type="dxa" w:w="1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绿建检测</w:t>
                  </w:r>
                </w:p>
              </w:tc>
              <w:tc>
                <w:tcPr>
                  <w:tcW w:type="dxa" w:w="1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b/>
                    </w:rPr>
                    <w:t>声学检测：室内噪声级、空气声隔声、撞击声隔声、厂界噪声。</w:t>
                  </w:r>
                </w:p>
              </w:tc>
              <w:tc>
                <w:tcPr>
                  <w:tcW w:type="dxa" w:w="191"/>
                  <w:vMerge/>
                  <w:tcBorders>
                    <w:top w:val="none" w:color="000000" w:sz="4"/>
                    <w:left w:val="single" w:color="000000" w:sz="4"/>
                    <w:bottom w:val="single" w:color="000000" w:sz="4"/>
                    <w:right w:val="single" w:color="000000" w:sz="4"/>
                  </w:tcBorders>
                </w:tcPr>
                <w:p/>
              </w:tc>
            </w:tr>
            <w:tr>
              <w:tc>
                <w:tcPr>
                  <w:tcW w:type="dxa" w:w="1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防雷检测</w:t>
                  </w:r>
                </w:p>
              </w:tc>
              <w:tc>
                <w:tcPr>
                  <w:tcW w:type="dxa" w:w="1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建筑物防雷分类；</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接闪器；</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引下线；</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接地装置；</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等电位连接；</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电涌保护器。</w:t>
                  </w:r>
                </w:p>
              </w:tc>
              <w:tc>
                <w:tcPr>
                  <w:tcW w:type="dxa" w:w="191"/>
                  <w:vMerge/>
                  <w:tcBorders>
                    <w:top w:val="none" w:color="000000" w:sz="4"/>
                    <w:left w:val="single" w:color="000000" w:sz="4"/>
                    <w:bottom w:val="single" w:color="000000" w:sz="4"/>
                    <w:right w:val="single" w:color="000000" w:sz="4"/>
                  </w:tcBorders>
                </w:tcPr>
                <w:p/>
              </w:tc>
            </w:tr>
          </w:tbl>
          <w:p>
            <w:pPr>
              <w:pStyle w:val="null3"/>
              <w:jc w:val="both"/>
              <w:outlineLvl w:val="1"/>
            </w:pPr>
            <w:r>
              <w:rPr>
                <w:rFonts w:ascii="仿宋_GB2312" w:hAnsi="仿宋_GB2312" w:cs="仿宋_GB2312" w:eastAsia="仿宋_GB2312"/>
                <w:sz w:val="28"/>
                <w:b/>
              </w:rPr>
              <w:t>3.商务要求</w:t>
            </w:r>
          </w:p>
          <w:p>
            <w:pPr>
              <w:pStyle w:val="null3"/>
              <w:ind w:firstLine="480"/>
              <w:jc w:val="both"/>
            </w:pPr>
            <w:r>
              <w:rPr>
                <w:rFonts w:ascii="仿宋_GB2312" w:hAnsi="仿宋_GB2312" w:cs="仿宋_GB2312" w:eastAsia="仿宋_GB2312"/>
                <w:sz w:val="24"/>
              </w:rPr>
              <w:t>1.服务期：自合同签订之日起至工程竣工验收两年后，沉降观测完成，且所有检测内容完成并提供所有完整检测资料为止</w:t>
            </w:r>
          </w:p>
          <w:p>
            <w:pPr>
              <w:pStyle w:val="null3"/>
              <w:ind w:firstLine="480"/>
              <w:jc w:val="both"/>
            </w:pPr>
            <w:r>
              <w:rPr>
                <w:rFonts w:ascii="仿宋_GB2312" w:hAnsi="仿宋_GB2312" w:cs="仿宋_GB2312" w:eastAsia="仿宋_GB2312"/>
                <w:sz w:val="24"/>
              </w:rPr>
              <w:t>2.服务地点：甲方指定地点</w:t>
            </w:r>
          </w:p>
          <w:p>
            <w:pPr>
              <w:pStyle w:val="null3"/>
              <w:ind w:firstLine="480"/>
              <w:jc w:val="both"/>
            </w:pPr>
            <w:r>
              <w:rPr>
                <w:rFonts w:ascii="仿宋_GB2312" w:hAnsi="仿宋_GB2312" w:cs="仿宋_GB2312" w:eastAsia="仿宋_GB2312"/>
                <w:sz w:val="24"/>
              </w:rPr>
              <w:t>3.质量要求：符合国家相关行业质量检测及验收标准。</w:t>
            </w:r>
          </w:p>
          <w:p>
            <w:pPr>
              <w:pStyle w:val="null3"/>
              <w:ind w:firstLine="480"/>
              <w:jc w:val="left"/>
            </w:pPr>
            <w:r>
              <w:rPr>
                <w:rFonts w:ascii="仿宋_GB2312" w:hAnsi="仿宋_GB2312" w:cs="仿宋_GB2312" w:eastAsia="仿宋_GB2312"/>
                <w:sz w:val="24"/>
              </w:rPr>
              <w:t>4.款项结算：</w:t>
            </w:r>
            <w:r>
              <w:rPr>
                <w:rFonts w:ascii="仿宋_GB2312" w:hAnsi="仿宋_GB2312" w:cs="仿宋_GB2312" w:eastAsia="仿宋_GB2312"/>
                <w:sz w:val="24"/>
              </w:rPr>
              <w:t>合同签订后支付</w:t>
            </w:r>
            <w:r>
              <w:rPr>
                <w:rFonts w:ascii="仿宋_GB2312" w:hAnsi="仿宋_GB2312" w:cs="仿宋_GB2312" w:eastAsia="仿宋_GB2312"/>
                <w:sz w:val="24"/>
              </w:rPr>
              <w:t>10%预付款，主体完成正负零支付20%检测费用，主体封顶支付20%检测费用，项目竣工后支付30%检测费用，各项检测资料齐全并通过住建部门验收后，支付检测费用15%，沉降观测截止（竣工两年后）后支付5%检测费用。</w:t>
            </w:r>
          </w:p>
          <w:p>
            <w:pPr>
              <w:pStyle w:val="null3"/>
              <w:ind w:firstLine="480"/>
              <w:jc w:val="both"/>
            </w:pPr>
            <w:r>
              <w:rPr>
                <w:rFonts w:ascii="仿宋_GB2312" w:hAnsi="仿宋_GB2312" w:cs="仿宋_GB2312" w:eastAsia="仿宋_GB2312"/>
                <w:sz w:val="24"/>
              </w:rPr>
              <w:t>5.知识产权归属：本项目研究成果知识产权为采购人所有。不得将研究成果和采购人提供的资料转让第三者。</w:t>
            </w:r>
          </w:p>
          <w:p>
            <w:pPr>
              <w:pStyle w:val="null3"/>
              <w:ind w:firstLine="480"/>
              <w:jc w:val="both"/>
            </w:pPr>
            <w:r>
              <w:rPr>
                <w:rFonts w:ascii="仿宋_GB2312" w:hAnsi="仿宋_GB2312" w:cs="仿宋_GB2312" w:eastAsia="仿宋_GB2312"/>
                <w:sz w:val="24"/>
              </w:rPr>
              <w:t>6.验收条款：（1）项目验收时，验收资料完整；（2）采购人要求的工作目标均已实现；（3）符合部省有关技术规范和要求，并已提交技术成果。</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具备履行合同所必需的人员</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具备履行合同所必需的设备和专业技术能力</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自合同签订之日起至工程竣工验收两年后，沉降观测完成，且所有检测内容完成并提供所有完整检测资料为止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（1）项目验收时，验收资料完整；（2）采购人要求的工作目标均已实现；（3）符合部省有关技术规范和要求，并已提交技术成果。</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主体完成正负零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主体封顶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项目竣工后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各项检测资料齐全并通过住建部门验收后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沉降观测截止（竣工两年后）后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履行过程中发生的争议，由甲、乙双方当事人协商解决，协商不成的按下列第（一）种方式解决： （一）提交西安仲裁委员会仲裁； （二）依法向甲方所在地人民法院起诉。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中标单位在领取中标通知书时提供一正两副纸质版投标文件。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有效主体证明文件</w:t>
            </w:r>
          </w:p>
        </w:tc>
        <w:tc>
          <w:tcPr>
            <w:tcW w:type="dxa" w:w="3322"/>
          </w:tcPr>
          <w:p>
            <w:pPr>
              <w:pStyle w:val="null3"/>
            </w:pPr>
            <w:r>
              <w:rPr>
                <w:rFonts w:ascii="仿宋_GB2312" w:hAnsi="仿宋_GB2312" w:cs="仿宋_GB2312" w:eastAsia="仿宋_GB2312"/>
              </w:rPr>
              <w:t>投标人应具有独立承担民事责任的能力且具备向采购人提供相关货物及相应服务的企业法人/事业法人/其他组织，企业法人应提供合法有效的营业执照等证明文件，事业法人应提供合法有效的事业单位法人证等证明文件，其他组织应提供合法有效的证明文件；</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投标人需提供2023年度经审计的投标人财务审计报告或者开标前三个月内的银行资信证明或财政部门认可的政府采购专业担保机构出具的投标担保函；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提供投标人自2024年10月1日以来已缴纳任意一个月完税凭证或税务机关开具的完税证明（任意税种）；依法免税的应提供相关文件证明；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提供投标人自2024年10月1日以来已缴存的任意一个月的社会保障资金缴存单据或社保机构开具的社会保险参保缴费情况证明；依法不需要缴纳社会保障资金的投标人应提供相关文件证明；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供应商具备履行合同所必需的设备和专业技术能力的证明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法定代表人授权委托书（附法定代表人身份证复印件）及被授权人身份证（法定代表人直接参加投标的只须提供法定代表人身份证原件）；</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须具备省级及以上住房城乡建设主管部门颁发的建设工程质量检测机构综合资质或《建设工程质量检测机构资质证书》，检测范围应包含房屋建筑土建工程建筑材料、构配件进场见证取样检测；地基基础工程检测；钢结构工程检测；主体结构工程检测；既有建筑物结构、使用功能、安全可靠性综合检测、评估、鉴定；民用建筑工程室内环境污染检测；民用建筑节能检测；建筑幕墙工程检测。具备人防工程防护设备检测机构资质认定备案；</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网站信用</w:t>
            </w:r>
          </w:p>
        </w:tc>
        <w:tc>
          <w:tcPr>
            <w:tcW w:type="dxa" w:w="3322"/>
          </w:tcPr>
          <w:p>
            <w:pPr>
              <w:pStyle w:val="null3"/>
            </w:pPr>
            <w:r>
              <w:rPr>
                <w:rFonts w:ascii="仿宋_GB2312" w:hAnsi="仿宋_GB2312" w:cs="仿宋_GB2312" w:eastAsia="仿宋_GB2312"/>
              </w:rPr>
              <w:t>投标人在近三年的经营活动中没有重大违法记录的书面声明；投标人不得在“中国执行信息公开网（http://zxgk.court.gov.cn）”被列为失信被执行人和“信用中国（https://www.creditchina.gov.cn/）”重大税收违法失信主体；</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单位负责人为同一人或者存在直接控股、管理关系的不同供应商，不得参加同一合同项下的活动；</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本次招标不接受联合体投标</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投标人应当按照招标文件的规定和要求签字、盖章. 1、电子投标文件中涉及加盖单位公章的地方可使用电子印章或上传纸质加盖公章的扫描件。 2、法定代表人可使用电子印章或上传纸质文件有法人签名的扫描件。 3、授权代表签字须上传纸质签名文件的扫描件。</w:t>
            </w:r>
          </w:p>
        </w:tc>
        <w:tc>
          <w:tcPr>
            <w:tcW w:type="dxa" w:w="1661"/>
          </w:tcPr>
          <w:p>
            <w:pPr>
              <w:pStyle w:val="null3"/>
            </w:pPr>
            <w:r>
              <w:rPr>
                <w:rFonts w:ascii="仿宋_GB2312" w:hAnsi="仿宋_GB2312" w:cs="仿宋_GB2312" w:eastAsia="仿宋_GB2312"/>
              </w:rPr>
              <w:t>开标一览表 资格证明文件 投标人参加政府采购活动承诺书 投标函 中小企业声明函 残疾人福利性单位声明函 商务应答表 服务方案 服务内容及服务要求应答表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符合招标文件格式要求</w:t>
            </w:r>
          </w:p>
        </w:tc>
        <w:tc>
          <w:tcPr>
            <w:tcW w:type="dxa" w:w="1661"/>
          </w:tcPr>
          <w:p>
            <w:pPr>
              <w:pStyle w:val="null3"/>
            </w:pPr>
            <w:r>
              <w:rPr>
                <w:rFonts w:ascii="仿宋_GB2312" w:hAnsi="仿宋_GB2312" w:cs="仿宋_GB2312" w:eastAsia="仿宋_GB2312"/>
              </w:rPr>
              <w:t>开标一览表 资格证明文件 投标人参加政府采购活动承诺书 投标函 中小企业声明函 残疾人福利性单位声明函 商务应答表 服务方案 服务内容及服务要求应答表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只能有一个有效报价，不得提交选择性报价，且报价不超过招标文件里规定的最高限价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不存在串通投标的情形</w:t>
            </w:r>
          </w:p>
        </w:tc>
        <w:tc>
          <w:tcPr>
            <w:tcW w:type="dxa" w:w="3322"/>
          </w:tcPr>
          <w:p>
            <w:pPr>
              <w:pStyle w:val="null3"/>
            </w:pPr>
            <w:r>
              <w:rPr>
                <w:rFonts w:ascii="仿宋_GB2312" w:hAnsi="仿宋_GB2312" w:cs="仿宋_GB2312" w:eastAsia="仿宋_GB2312"/>
              </w:rPr>
              <w:t>有下列情形之一的，视为投标人相互恶意串通投标，投标无效： （1）不同投标人的投标文件由同一单位或者个人编制； （2）不同投标人委托同一单位或者个人办理投标事宜； （3）不同投标人的投标文件载明的项目管理成员为同一人； （4）不同投标人的投标文件异常一致或者投标报价呈规律性差异； （5）不同投标人的投标文件出自同一台制作设备（文件制作机器码一致）。</w:t>
            </w:r>
          </w:p>
        </w:tc>
        <w:tc>
          <w:tcPr>
            <w:tcW w:type="dxa" w:w="1661"/>
          </w:tcPr>
          <w:p>
            <w:pPr>
              <w:pStyle w:val="null3"/>
            </w:pPr>
            <w:r>
              <w:rPr>
                <w:rFonts w:ascii="仿宋_GB2312" w:hAnsi="仿宋_GB2312" w:cs="仿宋_GB2312" w:eastAsia="仿宋_GB2312"/>
              </w:rPr>
              <w:t>开标一览表 资格证明文件 投标人参加政府采购活动承诺书 投标函 中小企业声明函 残疾人福利性单位声明函 商务应答表 服务方案 服务内容及服务要求应答表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开标一览表 资格证明文件 投标人参加政府采购活动承诺书 投标函 中小企业声明函 残疾人福利性单位声明函 商务应答表 服务方案 服务内容及服务要求应答表 标的清单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符合第三章“招标项目技术、服务、商务及其他要求”中规定的技术服务要求内容</w:t>
            </w:r>
          </w:p>
        </w:tc>
        <w:tc>
          <w:tcPr>
            <w:tcW w:type="dxa" w:w="1661"/>
          </w:tcPr>
          <w:p>
            <w:pPr>
              <w:pStyle w:val="null3"/>
            </w:pPr>
            <w:r>
              <w:rPr>
                <w:rFonts w:ascii="仿宋_GB2312" w:hAnsi="仿宋_GB2312" w:cs="仿宋_GB2312" w:eastAsia="仿宋_GB2312"/>
              </w:rPr>
              <w:t>商务应答表 服务方案 服务内容及服务要求应答表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符合招标文件实质性要求的规定</w:t>
            </w:r>
          </w:p>
        </w:tc>
        <w:tc>
          <w:tcPr>
            <w:tcW w:type="dxa" w:w="1661"/>
          </w:tcPr>
          <w:p>
            <w:pPr>
              <w:pStyle w:val="null3"/>
            </w:pPr>
            <w:r>
              <w:rPr>
                <w:rFonts w:ascii="仿宋_GB2312" w:hAnsi="仿宋_GB2312" w:cs="仿宋_GB2312" w:eastAsia="仿宋_GB2312"/>
              </w:rPr>
              <w:t>开标一览表 资格证明文件 投标人参加政府采购活动承诺书 投标函 中小企业声明函 残疾人福利性单位声明函 商务应答表 服务方案 服务内容及服务要求应答表 标的清单 投标文件封面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符合“投标人须知前附表”第12条款的规定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权利义务</w:t>
            </w:r>
          </w:p>
        </w:tc>
        <w:tc>
          <w:tcPr>
            <w:tcW w:type="dxa" w:w="3322"/>
          </w:tcPr>
          <w:p>
            <w:pPr>
              <w:pStyle w:val="null3"/>
            </w:pPr>
            <w:r>
              <w:rPr>
                <w:rFonts w:ascii="仿宋_GB2312" w:hAnsi="仿宋_GB2312" w:cs="仿宋_GB2312" w:eastAsia="仿宋_GB2312"/>
              </w:rPr>
              <w:t>符合“政府采购合同格式”条款中实质性要求和条件</w:t>
            </w:r>
          </w:p>
        </w:tc>
        <w:tc>
          <w:tcPr>
            <w:tcW w:type="dxa" w:w="1661"/>
          </w:tcPr>
          <w:p>
            <w:pPr>
              <w:pStyle w:val="null3"/>
            </w:pPr>
            <w:r>
              <w:rPr>
                <w:rFonts w:ascii="仿宋_GB2312" w:hAnsi="仿宋_GB2312" w:cs="仿宋_GB2312" w:eastAsia="仿宋_GB2312"/>
              </w:rPr>
              <w:t>开标一览表 资格证明文件 投标人参加政府采购活动承诺书 投标函 中小企业声明函 残疾人福利性单位声明函 商务应答表 服务方案 服务内容及服务要求应答表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企业综合实力</w:t>
            </w:r>
          </w:p>
        </w:tc>
        <w:tc>
          <w:tcPr>
            <w:tcW w:type="dxa" w:w="2492"/>
          </w:tcPr>
          <w:p>
            <w:pPr>
              <w:pStyle w:val="null3"/>
            </w:pPr>
            <w:r>
              <w:rPr>
                <w:rFonts w:ascii="仿宋_GB2312" w:hAnsi="仿宋_GB2312" w:cs="仿宋_GB2312" w:eastAsia="仿宋_GB2312"/>
              </w:rPr>
              <w:t>根据投标人在满足资格条件的基础上所展示综合实力水平进行评审： 1.企业管理体系（2分） ①具备有效的质量管理体系认证、环境管理体系认证、职业健康安全管理体系认证，具备两化融合管理体系评定证书（信息化、工业化），得2分； 2.企业技术实力（2分） ①具备建设工程质量监督检验机构资质(CAL资质认定)，得2分。 3.企业信誉水平（1分） ①具备建筑业AAA级信用，得1分；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重难点分析及解决措施</w:t>
            </w:r>
          </w:p>
        </w:tc>
        <w:tc>
          <w:tcPr>
            <w:tcW w:type="dxa" w:w="2492"/>
          </w:tcPr>
          <w:p>
            <w:pPr>
              <w:pStyle w:val="null3"/>
            </w:pPr>
            <w:r>
              <w:rPr>
                <w:rFonts w:ascii="仿宋_GB2312" w:hAnsi="仿宋_GB2312" w:cs="仿宋_GB2312" w:eastAsia="仿宋_GB2312"/>
              </w:rPr>
              <w:t>1、根据投标人对本次招标项目的基坑支护检测、地基基础检测、主体结构工程检测、建筑物沉降观测、建筑节能检测等检测巡查的重点、难点分析进行综合评审（5 分） 投标人对本项目管理、试验检测的重点、难点分析详尽、具有针对性、可行性的得 5 分；投标人对本项目管理、试验检测的重点、难点分析较为详尽、具有一定的针对性、可行性的的得3分；投标人对本项目管理、试验检测的重点、难点分析片面、具有一定缺陷的得 1 分；未提供不得分。 2、根据投标人针对本次招标项目的重难点情况提出的针对性解决措施进行综合评审（5 分） 投标人针对重难点情况提出的解决措施具有针对性的、可操作性的得 5 分；投标人针对重难点情况提出的解决措施片面、但较为针对的得 3 分；投标人针对重难点情况提出的解决措施片面、具有一定缺陷的，操作困难的得 1 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检测方案评审</w:t>
            </w:r>
          </w:p>
        </w:tc>
        <w:tc>
          <w:tcPr>
            <w:tcW w:type="dxa" w:w="2492"/>
          </w:tcPr>
          <w:p>
            <w:pPr>
              <w:pStyle w:val="null3"/>
            </w:pPr>
            <w:r>
              <w:rPr>
                <w:rFonts w:ascii="仿宋_GB2312" w:hAnsi="仿宋_GB2312" w:cs="仿宋_GB2312" w:eastAsia="仿宋_GB2312"/>
              </w:rPr>
              <w:t>投标人拟投本项目检测方案评审，方案需包含①检测内容完整性②检测计划合理性③质量保证措施三个方面内容进行描述。 每项内容完整且切合项目实际的得 5 分，最多得 15 分，每缺少一项内容扣 5 分，每有一处缺陷（缺陷是指：存在不适用项目实际情况的情形、凭空编造、笼统描述、内容前后不一致、内容无法连贯、前后逻辑错误、涉及的规范及标准错误、地点区域错误、直接套用其他项目方案、与项目实施特点不匹配、不符合或不满足采购需求实际等任意一种不利于项目实施情况）扣 1 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项目团队评审</w:t>
            </w:r>
          </w:p>
        </w:tc>
        <w:tc>
          <w:tcPr>
            <w:tcW w:type="dxa" w:w="2492"/>
          </w:tcPr>
          <w:p>
            <w:pPr>
              <w:pStyle w:val="null3"/>
            </w:pPr>
            <w:r>
              <w:rPr>
                <w:rFonts w:ascii="仿宋_GB2312" w:hAnsi="仿宋_GB2312" w:cs="仿宋_GB2312" w:eastAsia="仿宋_GB2312"/>
              </w:rPr>
              <w:t>投标人拟投本项目技术人员配置方案，方案需包含①相应专业技术人员配置②人员轮值计划③人员内部管理措施三项内容。 每项内容完整且切合项目实际的得 5 分，最多得 15 分，每缺少一项内容扣 5 分，每有一处缺陷（缺陷是指：存在不适用项目实际情况的情形、凭空编造、笼统描述、内容前后不一致、内容无法连贯、前后逻辑错误、涉及的规范及标准错误、地点区域错误、直接套用其他项目方案、与项目实施特点不匹配、不符合或不满足采购需求实际等任意一种不利于项目实施情况）扣 1 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检测仪器设备评审</w:t>
            </w:r>
          </w:p>
        </w:tc>
        <w:tc>
          <w:tcPr>
            <w:tcW w:type="dxa" w:w="2492"/>
          </w:tcPr>
          <w:p>
            <w:pPr>
              <w:pStyle w:val="null3"/>
            </w:pPr>
            <w:r>
              <w:rPr>
                <w:rFonts w:ascii="仿宋_GB2312" w:hAnsi="仿宋_GB2312" w:cs="仿宋_GB2312" w:eastAsia="仿宋_GB2312"/>
              </w:rPr>
              <w:t>投标人拟投检测仪器设备内容评审，评审内容包括①检测仪器数量、产品品牌②设备先进性两项内容， 每项内容完整且切合项目实际的得 5 分，最多得 10 分，每缺少一项内容扣 5 分，每有一处缺陷（缺陷是指：存在不适用项目实际情况的情形、凭空编造、笼统描述、内容前后不一致、内容无法连贯、前后逻辑错误、涉及的规范及标准错误、地点区域错误、直接套用其他项目方案、与项目实施特点不匹配、不符合或不满足采购需求实际等任意一种不利于项目实施情况）扣 1 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质量控制措施评审</w:t>
            </w:r>
          </w:p>
        </w:tc>
        <w:tc>
          <w:tcPr>
            <w:tcW w:type="dxa" w:w="2492"/>
          </w:tcPr>
          <w:p>
            <w:pPr>
              <w:pStyle w:val="null3"/>
            </w:pPr>
            <w:r>
              <w:rPr>
                <w:rFonts w:ascii="仿宋_GB2312" w:hAnsi="仿宋_GB2312" w:cs="仿宋_GB2312" w:eastAsia="仿宋_GB2312"/>
              </w:rPr>
              <w:t>投标人须提供质量控制措施方案，方案内容包括①检测流程规范性②质量保证体系措施要求③检测报告出具的质量要求三项内容，每项内容完整且切合项目实际的得 5 分，最多得 15 分，每缺少一项内容扣 5 分，每有一处缺陷（缺陷是指：存在不适用项目实际情况的情形、凭空编造、笼统描述、内容前后不一致、内容无法连贯、前后逻辑错误、涉及的规范及标准错误、地点区域错误、直接套用其他项目方案、与项目实施特点不匹配、不符合或不满足采购需求实际等任意一种不利于项目实施情况）扣 1 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安全防护措施</w:t>
            </w:r>
          </w:p>
        </w:tc>
        <w:tc>
          <w:tcPr>
            <w:tcW w:type="dxa" w:w="2492"/>
          </w:tcPr>
          <w:p>
            <w:pPr>
              <w:pStyle w:val="null3"/>
            </w:pPr>
            <w:r>
              <w:rPr>
                <w:rFonts w:ascii="仿宋_GB2312" w:hAnsi="仿宋_GB2312" w:cs="仿宋_GB2312" w:eastAsia="仿宋_GB2312"/>
              </w:rPr>
              <w:t>根据投标人针对本项目的试验检测及巡查过程安全保证措施进行综合评审，投标人的试验检测及巡查过程安全保证措施详尽、具有操作性的得 5 分；投标人的试验检测及巡查过程安全保证措施较为详尽、具有一定操作性的得 3 分；投标人的试验检测及巡查过程安全保证措施片面、存在一定缺陷的得 1 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提供近三年（2022年 4 月 1 日）至今工程质量综合检测项目（指包含两类及以上检测项目的项目业绩）类似业绩合同复印件及结算发票复印件加盖公章，每提供一份得 2 分，满分 10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1.经初审合格的投标文件，其投标报价为有效投标报价，对符合政策性扣减的投标人的有效投标价格进行政策性扣减，并依据扣减后的价格（评审价格）进行价格评审。 2.满足招标文件实质性要求且最低的投标报价为评标基准价，其价格分为满分15分。 3.评标报价得分=（评标基准价/评审价格）×15的公式计算得分。 4.评标报价不完整的，不进入评标基准价的计算，本项得0分。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小微企业、残疾人福利性单位、监狱企业凡提供相关资格证明均享受10%价格折扣。</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详见附件：投标人参加政府采购活动承诺书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