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版本号：LDZB-25011720250415001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陕西省碳普惠平台运营项目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LDZB-250117</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立德项目咨询集团（陕西）有限公司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立德项目咨询集团（陕西）有限公司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陕西省碳普惠平台运营项目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LDZB-250117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陕西省碳普惠平台运营项目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开展陕西省碳普惠平台运营，碳普惠方法学和减排场景的开发，优化完善碳普惠平台功能，保障碳普惠平台安全高效可持续运行。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029-85369869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立德项目咨询集团（陕西）有限公司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陕西省西安市浐灞生态区欧亚大道777号浐灞自贸中心项目E座803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刘思雨、黄姝源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开户名称：立德项目咨询集团（陕西）有限公司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银行账号：129916526210111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原国家计委颁发的《招标代理服务收费管理暂行办法》（计价格[2002]1980号）和国家发展改革委员会办公厅颁发的《关于招标代理服务收费有关问题的通知》（发改办价格[2003] 857号）的标准执行，向代理机构一次付清代理服务费。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立德项目咨询集团（陕西）有限公司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立德项目咨询集团（陕西）有限公司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立德项目咨询集团（陕西）有限公司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联系人：刘思雨、黄姝源</w:t>
      </w:r>
    </w:p>
    <w:p>
      <w:pPr>
        <w:pStyle w:val="null3"/>
      </w:pPr>
      <w:r>
        <w:rPr>
          <w:rFonts w:ascii="仿宋_GB2312" w:hAnsi="仿宋_GB2312" w:cs="仿宋_GB2312" w:eastAsia="仿宋_GB2312"/>
        </w:rPr>
        <w:t>联系电话：029-86615942</w:t>
      </w:r>
    </w:p>
    <w:p>
      <w:pPr>
        <w:pStyle w:val="null3"/>
      </w:pPr>
      <w:r>
        <w:rPr>
          <w:rFonts w:ascii="仿宋_GB2312" w:hAnsi="仿宋_GB2312" w:cs="仿宋_GB2312" w:eastAsia="仿宋_GB2312"/>
        </w:rPr>
        <w:t>地址：陕西省西安市浐灞生态区欧亚大道777号浐灞自贸中心项目E座803</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开展陕西省碳普惠平台运营，碳普惠方法学和减排场景的开发，优化完善碳普惠平台功能，保障碳普惠平台安全高效可持续运行。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碳普惠平台运营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标的名称：碳普惠平台运营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2"/>
              <w:jc w:val="both"/>
            </w:pPr>
            <w:r>
              <w:rPr>
                <w:rFonts w:ascii="仿宋_GB2312" w:hAnsi="仿宋_GB2312" w:cs="仿宋_GB2312" w:eastAsia="仿宋_GB2312"/>
                <w:sz w:val="21"/>
                <w:b/>
              </w:rPr>
              <w:t>一、工作目标</w:t>
            </w:r>
          </w:p>
          <w:p>
            <w:pPr>
              <w:pStyle w:val="null3"/>
              <w:ind w:firstLine="420"/>
              <w:jc w:val="both"/>
            </w:pPr>
            <w:r>
              <w:rPr>
                <w:rFonts w:ascii="仿宋_GB2312" w:hAnsi="仿宋_GB2312" w:cs="仿宋_GB2312" w:eastAsia="仿宋_GB2312"/>
                <w:sz w:val="21"/>
              </w:rPr>
              <w:t>开展陕西省碳普惠平台运营，碳普惠方法学和减排场景的开发，优化完善碳普惠平台功能，保障碳普惠平台安全高效可持续运行</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二、平台</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1.开展陕西省碳普惠平台运营，扩大平台用户注册人数（年度运营期末不少于1万人），提升用户参与度，做好平台用户咨询、投诉和反馈等，确保良好的用户体验和交互。完善平台日常运营管理机制，按月提交平台运营报告，运营人员现场驻守时间每月不少于15天，不断优化完善平台功能，做好碳普惠平台上线，保障平台安全高效运行12个月。</w:t>
            </w:r>
          </w:p>
          <w:p>
            <w:pPr>
              <w:pStyle w:val="null3"/>
              <w:ind w:firstLine="420"/>
              <w:jc w:val="both"/>
            </w:pPr>
            <w:r>
              <w:rPr>
                <w:rFonts w:ascii="仿宋_GB2312" w:hAnsi="仿宋_GB2312" w:cs="仿宋_GB2312" w:eastAsia="仿宋_GB2312"/>
                <w:sz w:val="21"/>
              </w:rPr>
              <w:t>2.积极拓展多元化碳积分消纳渠道，保障并更新平台积分权益兑换商城商品，</w:t>
            </w:r>
            <w:r>
              <w:rPr>
                <w:rFonts w:ascii="仿宋_GB2312" w:hAnsi="仿宋_GB2312" w:cs="仿宋_GB2312" w:eastAsia="仿宋_GB2312"/>
                <w:sz w:val="21"/>
              </w:rPr>
              <w:t>完成</w:t>
            </w:r>
            <w:r>
              <w:rPr>
                <w:rFonts w:ascii="仿宋_GB2312" w:hAnsi="仿宋_GB2312" w:cs="仿宋_GB2312" w:eastAsia="仿宋_GB2312"/>
                <w:sz w:val="21"/>
              </w:rPr>
              <w:t>2项及以上</w:t>
            </w:r>
            <w:r>
              <w:rPr>
                <w:rFonts w:ascii="仿宋_GB2312" w:hAnsi="仿宋_GB2312" w:cs="仿宋_GB2312" w:eastAsia="仿宋_GB2312"/>
                <w:sz w:val="21"/>
              </w:rPr>
              <w:t>低碳公益场景</w:t>
            </w:r>
            <w:r>
              <w:rPr>
                <w:rFonts w:ascii="仿宋_GB2312" w:hAnsi="仿宋_GB2312" w:cs="仿宋_GB2312" w:eastAsia="仿宋_GB2312"/>
                <w:sz w:val="21"/>
              </w:rPr>
              <w:t>开发</w:t>
            </w:r>
            <w:r>
              <w:rPr>
                <w:rFonts w:ascii="仿宋_GB2312" w:hAnsi="仿宋_GB2312" w:cs="仿宋_GB2312" w:eastAsia="仿宋_GB2312"/>
                <w:sz w:val="21"/>
              </w:rPr>
              <w:t>，</w:t>
            </w:r>
            <w:r>
              <w:rPr>
                <w:rFonts w:ascii="仿宋_GB2312" w:hAnsi="仿宋_GB2312" w:cs="仿宋_GB2312" w:eastAsia="仿宋_GB2312"/>
                <w:sz w:val="21"/>
              </w:rPr>
              <w:t>开展</w:t>
            </w:r>
            <w:r>
              <w:rPr>
                <w:rFonts w:ascii="仿宋_GB2312" w:hAnsi="仿宋_GB2312" w:cs="仿宋_GB2312" w:eastAsia="仿宋_GB2312"/>
                <w:sz w:val="21"/>
              </w:rPr>
              <w:t>大型活动使用碳普惠减排量</w:t>
            </w:r>
            <w:r>
              <w:rPr>
                <w:rFonts w:ascii="仿宋_GB2312" w:hAnsi="仿宋_GB2312" w:cs="仿宋_GB2312" w:eastAsia="仿宋_GB2312"/>
                <w:sz w:val="21"/>
              </w:rPr>
              <w:t>实现</w:t>
            </w:r>
            <w:r>
              <w:rPr>
                <w:rFonts w:ascii="仿宋_GB2312" w:hAnsi="仿宋_GB2312" w:cs="仿宋_GB2312" w:eastAsia="仿宋_GB2312"/>
                <w:sz w:val="21"/>
              </w:rPr>
              <w:t>碳中和</w:t>
            </w:r>
            <w:r>
              <w:rPr>
                <w:rFonts w:ascii="仿宋_GB2312" w:hAnsi="仿宋_GB2312" w:cs="仿宋_GB2312" w:eastAsia="仿宋_GB2312"/>
                <w:sz w:val="21"/>
              </w:rPr>
              <w:t>的</w:t>
            </w:r>
            <w:r>
              <w:rPr>
                <w:rFonts w:ascii="仿宋_GB2312" w:hAnsi="仿宋_GB2312" w:cs="仿宋_GB2312" w:eastAsia="仿宋_GB2312"/>
                <w:sz w:val="21"/>
              </w:rPr>
              <w:t>技术支持等工作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3.开展碳普惠减排场景及对应方法学开发，在绿色出行、绿色消费、资源节约等领域开发碳普惠减排场景和对应方法学，运营期内开发不少于2项</w:t>
            </w:r>
            <w:r>
              <w:rPr>
                <w:rFonts w:ascii="仿宋_GB2312" w:hAnsi="仿宋_GB2312" w:cs="仿宋_GB2312" w:eastAsia="仿宋_GB2312"/>
                <w:sz w:val="21"/>
              </w:rPr>
              <w:t>，同时协助甲方开展碳普惠方法学征集、评审等相关工作。</w:t>
            </w:r>
          </w:p>
          <w:p>
            <w:pPr>
              <w:pStyle w:val="null3"/>
              <w:ind w:firstLine="420"/>
              <w:jc w:val="both"/>
            </w:pPr>
            <w:r>
              <w:rPr>
                <w:rFonts w:ascii="仿宋_GB2312" w:hAnsi="仿宋_GB2312" w:cs="仿宋_GB2312" w:eastAsia="仿宋_GB2312"/>
                <w:sz w:val="21"/>
              </w:rPr>
              <w:t>4.加大碳普惠宣传推广，运营期内开展宣传推广活动不少于4次。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2026年6月30日前完成。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项目成果由采购人负责组织验收，或者邀请有关专家、采购代理机构共同进行验收,验收费用由供应商支付；验收合格须交接项目实施的全部资料，并填写政府采购项目验收报告单。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采购人结算，在付款前，必须开具全额发票给采购人。合同签订后10个工作日内，甲方向乙方支付合同价总额的50%作为项目预付款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碳普惠平台稳定运行，乙方完成注册人数、绿色场景搭建、方法学开发、活动宣传等运营指标的80%的任务量，且向甲方提交阶段性运营成果报告及相关证明后10个工作日内，甲方向乙方支付合同价总额的30%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乙方完成运营期项目全部任务，经甲方验收通过后10个工作日内，甲方向乙方支付剩余费用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 2.供应商应自投标文件递交截止时间起至评标结束保持在线状态。 3..成交供应商在领取成交通知书前将纸质版磋商响应文件正本 1 份、副本 1 份打印后提交至采购代理公司处，成交供应商应保持磋商响应文件纸质版内容与电子版内容完全一致，否则将承担一切法律责任。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商务偏离表</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服务要求应答</w:t>
            </w:r>
          </w:p>
        </w:tc>
        <w:tc>
          <w:tcPr>
            <w:tcW w:type="dxa" w:w="3322"/>
          </w:tcPr>
          <w:p>
            <w:pPr>
              <w:pStyle w:val="null3"/>
            </w:pPr>
            <w:r>
              <w:rPr>
                <w:rFonts w:ascii="仿宋_GB2312" w:hAnsi="仿宋_GB2312" w:cs="仿宋_GB2312" w:eastAsia="仿宋_GB2312"/>
              </w:rPr>
              <w:t>服务要求偏离表</w:t>
            </w:r>
          </w:p>
        </w:tc>
        <w:tc>
          <w:tcPr>
            <w:tcW w:type="dxa" w:w="1661"/>
          </w:tcPr>
          <w:p>
            <w:pPr>
              <w:pStyle w:val="null3"/>
            </w:pPr>
            <w:r>
              <w:rPr>
                <w:rFonts w:ascii="仿宋_GB2312" w:hAnsi="仿宋_GB2312" w:cs="仿宋_GB2312" w:eastAsia="仿宋_GB2312"/>
              </w:rPr>
              <w:t>响应文件封面 服务要求偏离表.docx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结合项目需求和服务要求，供应商针对本项目提出具体可行的服务方案。 1)对本项目建设的目标、任务的理解情况打分，0-4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2)对本项目工作思路与原则打分，0-4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3)对系统技术路线设计是否合理、先进、完整进行打分，0-4分；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4)对本项目的工作准备打分，0-4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5)对工作步骤中实施计划的逻辑性和可操作性打分，0-4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6)对本项目关键点和重难点分析进行打分，0-4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工作进度安排（1）</w:t>
            </w:r>
          </w:p>
        </w:tc>
        <w:tc>
          <w:tcPr>
            <w:tcW w:type="dxa" w:w="2492"/>
          </w:tcPr>
          <w:p>
            <w:pPr>
              <w:pStyle w:val="null3"/>
            </w:pPr>
            <w:r>
              <w:rPr>
                <w:rFonts w:ascii="仿宋_GB2312" w:hAnsi="仿宋_GB2312" w:cs="仿宋_GB2312" w:eastAsia="仿宋_GB2312"/>
              </w:rPr>
              <w:t>结合项目需求和服务要求，提供工作进度中的各项计划安排，安排应科学合理、条理清晰、规范可行。 1）项目总体框架及计划，0-4分；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工作进度安排（2）</w:t>
            </w:r>
          </w:p>
        </w:tc>
        <w:tc>
          <w:tcPr>
            <w:tcW w:type="dxa" w:w="2492"/>
          </w:tcPr>
          <w:p>
            <w:pPr>
              <w:pStyle w:val="null3"/>
            </w:pPr>
            <w:r>
              <w:rPr>
                <w:rFonts w:ascii="仿宋_GB2312" w:hAnsi="仿宋_GB2312" w:cs="仿宋_GB2312" w:eastAsia="仿宋_GB2312"/>
              </w:rPr>
              <w:t>2）项目进度计划，0-4分；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工作进度安排（3）</w:t>
            </w:r>
          </w:p>
        </w:tc>
        <w:tc>
          <w:tcPr>
            <w:tcW w:type="dxa" w:w="2492"/>
          </w:tcPr>
          <w:p>
            <w:pPr>
              <w:pStyle w:val="null3"/>
            </w:pPr>
            <w:r>
              <w:rPr>
                <w:rFonts w:ascii="仿宋_GB2312" w:hAnsi="仿宋_GB2312" w:cs="仿宋_GB2312" w:eastAsia="仿宋_GB2312"/>
              </w:rPr>
              <w:t>3）质量保证措施，0-4分。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结合项目需求和服务要求，提供相应的服务承诺。 1）项目质量的承诺，0-3分；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2）后续协调及服务工作的承诺，0-3分；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3）响应时间的承诺，0-3分。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保密及廉洁方案（1）</w:t>
            </w:r>
          </w:p>
        </w:tc>
        <w:tc>
          <w:tcPr>
            <w:tcW w:type="dxa" w:w="2492"/>
          </w:tcPr>
          <w:p>
            <w:pPr>
              <w:pStyle w:val="null3"/>
            </w:pPr>
            <w:r>
              <w:rPr>
                <w:rFonts w:ascii="仿宋_GB2312" w:hAnsi="仿宋_GB2312" w:cs="仿宋_GB2312" w:eastAsia="仿宋_GB2312"/>
              </w:rPr>
              <w:t>结合项目需求和服务要求，针对本次碳普惠平台运营项目提供保密廉洁方案。 1）供应商的保密制度，0-2分；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保密及廉洁方案（2）</w:t>
            </w:r>
          </w:p>
        </w:tc>
        <w:tc>
          <w:tcPr>
            <w:tcW w:type="dxa" w:w="2492"/>
          </w:tcPr>
          <w:p>
            <w:pPr>
              <w:pStyle w:val="null3"/>
            </w:pPr>
            <w:r>
              <w:rPr>
                <w:rFonts w:ascii="仿宋_GB2312" w:hAnsi="仿宋_GB2312" w:cs="仿宋_GB2312" w:eastAsia="仿宋_GB2312"/>
              </w:rPr>
              <w:t>2）涉密文件及资料的管理，0-2分；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保密及廉洁方案（3）</w:t>
            </w:r>
          </w:p>
        </w:tc>
        <w:tc>
          <w:tcPr>
            <w:tcW w:type="dxa" w:w="2492"/>
          </w:tcPr>
          <w:p>
            <w:pPr>
              <w:pStyle w:val="null3"/>
            </w:pPr>
            <w:r>
              <w:rPr>
                <w:rFonts w:ascii="仿宋_GB2312" w:hAnsi="仿宋_GB2312" w:cs="仿宋_GB2312" w:eastAsia="仿宋_GB2312"/>
              </w:rPr>
              <w:t>3）保密管理人员配备，0-2分；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保密及廉洁方案（4）</w:t>
            </w:r>
          </w:p>
        </w:tc>
        <w:tc>
          <w:tcPr>
            <w:tcW w:type="dxa" w:w="2492"/>
          </w:tcPr>
          <w:p>
            <w:pPr>
              <w:pStyle w:val="null3"/>
            </w:pPr>
            <w:r>
              <w:rPr>
                <w:rFonts w:ascii="仿宋_GB2312" w:hAnsi="仿宋_GB2312" w:cs="仿宋_GB2312" w:eastAsia="仿宋_GB2312"/>
              </w:rPr>
              <w:t>4）廉洁制度及措施，0-3分。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供应商组织架构</w:t>
            </w:r>
          </w:p>
        </w:tc>
        <w:tc>
          <w:tcPr>
            <w:tcW w:type="dxa" w:w="2492"/>
          </w:tcPr>
          <w:p>
            <w:pPr>
              <w:pStyle w:val="null3"/>
            </w:pPr>
            <w:r>
              <w:rPr>
                <w:rFonts w:ascii="仿宋_GB2312" w:hAnsi="仿宋_GB2312" w:cs="仿宋_GB2312" w:eastAsia="仿宋_GB2312"/>
              </w:rPr>
              <w:t>供应商的组织架构、岗位设置，根据其设置的合理性，岗位分工的明确性，0-4分。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项目负责人（1）</w:t>
            </w:r>
          </w:p>
        </w:tc>
        <w:tc>
          <w:tcPr>
            <w:tcW w:type="dxa" w:w="2492"/>
          </w:tcPr>
          <w:p>
            <w:pPr>
              <w:pStyle w:val="null3"/>
            </w:pPr>
            <w:r>
              <w:rPr>
                <w:rFonts w:ascii="仿宋_GB2312" w:hAnsi="仿宋_GB2312" w:cs="仿宋_GB2312" w:eastAsia="仿宋_GB2312"/>
              </w:rPr>
              <w:t>1）项目负责人具有本项目相关专业高级职称或博士学位的得3分；具有本项目相关专中级职称的得1分，其余不得分。 注： 1）提供项目负责人身份证、职称证书或学历证书等相关证明，未提供不得分；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项目负责人（2）</w:t>
            </w:r>
          </w:p>
        </w:tc>
        <w:tc>
          <w:tcPr>
            <w:tcW w:type="dxa" w:w="2492"/>
          </w:tcPr>
          <w:p>
            <w:pPr>
              <w:pStyle w:val="null3"/>
            </w:pPr>
            <w:r>
              <w:rPr>
                <w:rFonts w:ascii="仿宋_GB2312" w:hAnsi="仿宋_GB2312" w:cs="仿宋_GB2312" w:eastAsia="仿宋_GB2312"/>
              </w:rPr>
              <w:t>2）项目负责人曾参加碳普惠、绿色金融、CCER方法学开发项目的，3个项目及以上得4分，1-2个项目得2分，其余不得分。 注： 2）提供项目负责人的在职证明、业绩证明（包括体现项目负责人姓名的合同或成果文件或验收报告等），未提供不得分。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1）项目组配备技术人员（不包括项目负责人）具有10名及以上的得10分，不足10名的，每少1名扣2分，扣完为止。 注：提供人员身份证、职称证书或学历证书等相关证明，未提供不得分。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项目团队人员（2）</w:t>
            </w:r>
          </w:p>
        </w:tc>
        <w:tc>
          <w:tcPr>
            <w:tcW w:type="dxa" w:w="2492"/>
          </w:tcPr>
          <w:p>
            <w:pPr>
              <w:pStyle w:val="null3"/>
            </w:pPr>
            <w:r>
              <w:rPr>
                <w:rFonts w:ascii="仿宋_GB2312" w:hAnsi="仿宋_GB2312" w:cs="仿宋_GB2312" w:eastAsia="仿宋_GB2312"/>
              </w:rPr>
              <w:t>2）项目组配备技术人员（不包括项目负责人）具有相关专业高级职称的3人及以上得3分，1-2名得1分，其余不得分。 注：提供人员身份证、职称证书或学历证书等相关证明，未提供不得分。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提供2022年1月1日至今具有碳普惠平台开发或运营、绿色金融、CCER方法学开发项目类业绩，每提供一个得1分，最高得12分。 注： 1）提供业绩复印件（合同或合同关键页（须包含项目名称、签订内容、签订时间、盖章签字页等信息）； 2）业绩时间以签订合同时间为准。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