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版本号：XHZB-25-01020250416001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2025年度专用通信运行维护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XHZB-25-010</w:t>
      </w:r>
      <w:r>
        <w:br/>
      </w:r>
      <w:r>
        <w:br/>
      </w:r>
      <w:r>
        <w:br/>
      </w:r>
    </w:p>
    <w:p>
      <w:pPr>
        <w:pStyle w:val="null3"/>
        <w:jc w:val="center"/>
        <w:outlineLvl w:val="2"/>
      </w:pPr>
      <w:r>
        <w:rPr>
          <w:rFonts w:ascii="仿宋_GB2312" w:hAnsi="仿宋_GB2312" w:cs="仿宋_GB2312" w:eastAsia="仿宋_GB2312"/>
          <w:sz w:val="28"/>
          <w:b/>
        </w:rPr>
        <w:t>省专用通信局机关</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省专用通信局机关</w:t>
      </w:r>
      <w:r>
        <w:rPr>
          <w:rFonts w:ascii="仿宋_GB2312" w:hAnsi="仿宋_GB2312" w:cs="仿宋_GB2312" w:eastAsia="仿宋_GB2312"/>
        </w:rPr>
        <w:t>委托，拟对</w:t>
      </w:r>
      <w:r>
        <w:rPr>
          <w:rFonts w:ascii="仿宋_GB2312" w:hAnsi="仿宋_GB2312" w:cs="仿宋_GB2312" w:eastAsia="仿宋_GB2312"/>
        </w:rPr>
        <w:t>2025年度专用通信运行维护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2025年度专用通信运行维护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本项目主要为呼叫中心服务，具体根据实际需要配备相应人员，确保党政专用通信正常运行。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合法人员：供应商应授权合法的人员通过电子化交易系统以在线方式进行磋商，其中法定代表人直接参加磋商时电子响应文件须附法定代表人身份证明；法定代表人授权委托代理人参加磋商时电子响应文件须附法定代表人授权委托书；</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3、联合体磋商：本项目不接受联合体磋商。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省专用通信局机关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高新区科技四路195号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姜兵兵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029-63900036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以中标（成交）金额为基数，参照《国家计委关于印发&lt;招标代理服务收费管理暂行办法&gt;的通知》（计价格【2002】1980号）及《国家发改委关于降低部分建设项目收费标准规范收费行为等有关问题的通知》（发改价格[2011]534号）规定按标准收取，采用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省专用通信局机关</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省专用通信局机关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省专用通信局机关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联系人：黄菲</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地址：陕西省西安市雁塔区西安曲江新区雁塔南路金辉环球中心C座514室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本项目主要为呼叫中心服务，具体根据实际需要配备相应人员，确保党政专用通信正常运行。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专用通信运行维护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标的名称：专用通信运行维护</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一、服务标准</w:t>
            </w:r>
          </w:p>
          <w:p>
            <w:pPr>
              <w:pStyle w:val="null3"/>
            </w:pPr>
            <w:r>
              <w:rPr>
                <w:rFonts w:ascii="仿宋_GB2312" w:hAnsi="仿宋_GB2312" w:cs="仿宋_GB2312" w:eastAsia="仿宋_GB2312"/>
              </w:rPr>
              <w:t>按照《陕西省党政专用通信话务管理实施细则》的要求，提供优质的通信保障支撑服务。</w:t>
            </w:r>
          </w:p>
          <w:p>
            <w:pPr>
              <w:pStyle w:val="null3"/>
            </w:pPr>
            <w:r>
              <w:rPr>
                <w:rFonts w:ascii="仿宋_GB2312" w:hAnsi="仿宋_GB2312" w:cs="仿宋_GB2312" w:eastAsia="仿宋_GB2312"/>
              </w:rPr>
              <w:t>二、服务指标</w:t>
            </w:r>
          </w:p>
          <w:p>
            <w:pPr>
              <w:pStyle w:val="null3"/>
            </w:pPr>
            <w:r>
              <w:rPr>
                <w:rFonts w:ascii="仿宋_GB2312" w:hAnsi="仿宋_GB2312" w:cs="仿宋_GB2312" w:eastAsia="仿宋_GB2312"/>
              </w:rPr>
              <w:t>1、话务人员需严格执行各项规章制度和劳动纪律。</w:t>
            </w:r>
          </w:p>
          <w:p>
            <w:pPr>
              <w:pStyle w:val="null3"/>
            </w:pPr>
            <w:r>
              <w:rPr>
                <w:rFonts w:ascii="仿宋_GB2312" w:hAnsi="仿宋_GB2312" w:cs="仿宋_GB2312" w:eastAsia="仿宋_GB2312"/>
              </w:rPr>
              <w:t>2、话务人员接听电话时，必须讲普通话，规范服务用语，严禁使用禁用语。</w:t>
            </w:r>
          </w:p>
          <w:p>
            <w:pPr>
              <w:pStyle w:val="null3"/>
            </w:pPr>
            <w:r>
              <w:rPr>
                <w:rFonts w:ascii="仿宋_GB2312" w:hAnsi="仿宋_GB2312" w:cs="仿宋_GB2312" w:eastAsia="仿宋_GB2312"/>
              </w:rPr>
              <w:t>3、话务坐席处应处于工作状态，话务员要注意设备运行情况，有异常须及时通知机务班并做好记录，如有必要立即上报应急通信领导小组组长。</w:t>
            </w:r>
          </w:p>
          <w:p>
            <w:pPr>
              <w:pStyle w:val="null3"/>
            </w:pPr>
            <w:r>
              <w:rPr>
                <w:rFonts w:ascii="仿宋_GB2312" w:hAnsi="仿宋_GB2312" w:cs="仿宋_GB2312" w:eastAsia="仿宋_GB2312"/>
              </w:rPr>
              <w:t>4、话务人员应做好交接班工作，特别是未办结接转的交接，并填写值班记录。</w:t>
            </w:r>
          </w:p>
          <w:p>
            <w:pPr>
              <w:pStyle w:val="null3"/>
            </w:pPr>
            <w:r>
              <w:rPr>
                <w:rFonts w:ascii="仿宋_GB2312" w:hAnsi="仿宋_GB2312" w:cs="仿宋_GB2312" w:eastAsia="仿宋_GB2312"/>
              </w:rPr>
              <w:t>5、话务人员值班实行24小时轮流值班制，不得擅自离岗。</w:t>
            </w:r>
          </w:p>
          <w:p>
            <w:pPr>
              <w:pStyle w:val="null3"/>
            </w:pPr>
            <w:r>
              <w:rPr>
                <w:rFonts w:ascii="仿宋_GB2312" w:hAnsi="仿宋_GB2312" w:cs="仿宋_GB2312" w:eastAsia="仿宋_GB2312"/>
              </w:rPr>
              <w:t>三、时效指标</w:t>
            </w:r>
          </w:p>
          <w:p>
            <w:pPr>
              <w:pStyle w:val="null3"/>
            </w:pPr>
            <w:r>
              <w:rPr>
                <w:rFonts w:ascii="仿宋_GB2312" w:hAnsi="仿宋_GB2312" w:cs="仿宋_GB2312" w:eastAsia="仿宋_GB2312"/>
              </w:rPr>
              <w:t>1、话务员从信号灯亮到应答时不超过15秒；平均应答时限不超过7秒。</w:t>
            </w:r>
          </w:p>
          <w:p>
            <w:pPr>
              <w:pStyle w:val="null3"/>
            </w:pPr>
            <w:r>
              <w:rPr>
                <w:rFonts w:ascii="仿宋_GB2312" w:hAnsi="仿宋_GB2312" w:cs="仿宋_GB2312" w:eastAsia="仿宋_GB2312"/>
              </w:rPr>
              <w:t>2、常用号码查询时长每次不超过5秒；非常用号码查询时长每次不超过10秒。</w:t>
            </w:r>
          </w:p>
          <w:p>
            <w:pPr>
              <w:pStyle w:val="null3"/>
            </w:pPr>
            <w:r>
              <w:rPr>
                <w:rFonts w:ascii="仿宋_GB2312" w:hAnsi="仿宋_GB2312" w:cs="仿宋_GB2312" w:eastAsia="仿宋_GB2312"/>
              </w:rPr>
              <w:t>3、每月特别设置专题考试，专题考试满分为100分，成绩不计入业务考核。当月专题考试成绩达优，即90分以上者可参选当月月佳话务员。</w:t>
            </w:r>
          </w:p>
          <w:p>
            <w:pPr>
              <w:pStyle w:val="null3"/>
            </w:pPr>
            <w:r>
              <w:rPr>
                <w:rFonts w:ascii="仿宋_GB2312" w:hAnsi="仿宋_GB2312" w:cs="仿宋_GB2312" w:eastAsia="仿宋_GB2312"/>
              </w:rPr>
              <w:t>4、年度内累计2个月，业务考核得分低于80分者，或者不能完全履行《购买劳动服务合同》相关内容者，予以退回。</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合同签订之日起一年结算一次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要求在资格证明材料中提供：（1）具有独立承担民事责任能力的法人、其他组织或自然人，并出具合法有效的营业执照或事业单位法人证书等国家规定的相关证明，自然人参与的提供其身份证明。（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3）税收缴纳证明：提供投标人自投标前6个月以来已缴纳任意时段完税凭证或税务机关开具的完税证明（任意税种）；依法免税的应提供相关文件证明； （4）社会保障资金缴纳证明：提供投标人自投标前6个月以来已缴存的任意时段的社会保障资金缴存单据或社保机构开具的社会保险参保缴费情况证明；依法不需要缴纳社会保障资金的投标人应提供相关文件证明； （5）投标人提供具备履行合同所必需的设备和专业技术能力的承诺函； （6）投标人参加本次采购前3年内，在经营活动中没有重大违法记录的书面声明。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授权合法人员</w:t>
            </w:r>
          </w:p>
        </w:tc>
        <w:tc>
          <w:tcPr>
            <w:tcW w:type="dxa" w:w="3322"/>
          </w:tcPr>
          <w:p>
            <w:pPr>
              <w:pStyle w:val="null3"/>
            </w:pPr>
            <w:r>
              <w:rPr>
                <w:rFonts w:ascii="仿宋_GB2312" w:hAnsi="仿宋_GB2312" w:cs="仿宋_GB2312" w:eastAsia="仿宋_GB2312"/>
              </w:rPr>
              <w:t>供应商应授权合法的人员通过电子化交易系统以在线方式进行磋商，其中法定代表人直接参加磋商时电子响应文件须附法定代表人身份证明；法定代表人授权委托代理人参加磋商时电子响应文件须附法定代表人授权委托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资格证明材料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资格证明材料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对于采购文件要求响应的内容磋商响应文件是否做到全部响应；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资格证明材料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磋商总报价是否未超过采购预算（最高限价）；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服务期限是否符合要求；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磋商文件规定的其他要求</w:t>
            </w:r>
          </w:p>
        </w:tc>
        <w:tc>
          <w:tcPr>
            <w:tcW w:type="dxa" w:w="3322"/>
          </w:tcPr>
          <w:p>
            <w:pPr>
              <w:pStyle w:val="null3"/>
            </w:pPr>
            <w:r>
              <w:rPr>
                <w:rFonts w:ascii="仿宋_GB2312" w:hAnsi="仿宋_GB2312" w:cs="仿宋_GB2312" w:eastAsia="仿宋_GB2312"/>
              </w:rPr>
              <w:t>是否满足磋商文件规定的其他要求。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针对本项目提出总体服务方案，从话务接听受理、工单转派办理、异常工单沟通协调、数据统计、分析、报告、知识库维护更新等方面进行描述，要求科学合理、层次清楚、可操作性强。 方案内容全面，科学合理、层次清楚、可操作性强，计（10-15】分； 方案内容基本全面，基本满足采购需求，计（5-10】分； 方案内容有缺漏项，不能满足采购需求，计（0-5】分。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办公环境配置方案</w:t>
            </w:r>
          </w:p>
        </w:tc>
        <w:tc>
          <w:tcPr>
            <w:tcW w:type="dxa" w:w="2492"/>
          </w:tcPr>
          <w:p>
            <w:pPr>
              <w:pStyle w:val="null3"/>
            </w:pPr>
            <w:r>
              <w:rPr>
                <w:rFonts w:ascii="仿宋_GB2312" w:hAnsi="仿宋_GB2312" w:cs="仿宋_GB2312" w:eastAsia="仿宋_GB2312"/>
              </w:rPr>
              <w:t>针对本项目办公环境配置方案，要求具有科学性、合理性，相关配套设施及网络环境能够满足本项目工作需求。 方案科学合理，完全满足项目工作需求，计（10-15】分； 方案基本合理，基本满足项目工作需求，计（5-10】分； 方案合理性较差，不能满足项目工作需求，计（0-5】分。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供应商针对本项目具有完善的运营管理体系，从项目的管理工作方法、制度、流程及考核办法等方面进行描述。 管理体系完善，能够确保热线运营可靠稳定，计（10-15】分； 有基本的管理体系，基本满足项目需求，计（5-10】分； 管理体系有缺漏，不能满足项目需求，计（0-5】。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供应商针对本项目人员管理方案，要求具有科学性、合理性，层次清楚，可操作性强，项目成员配置符合招标文件要求，根据响应程度：优计（10-15】分；一般计（5-10】分；差计（0-5】分。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可能出现的问题及突发事件，有具体可行的应急措施和解决方案，内容包括但不限于响应时间、定期巡查、应急解决方案、服务监督管理机制、服务承诺等。根据响应情况：优计（6-10】分；一般计（3-6】分；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的服务承诺，包括但不限于对项目服务标准和质量承诺、每月最低处理工单数量承诺、安全保密性承诺、服务时间承诺、客服个性化服务承诺、应急服务承诺、突发事件处理承诺等进行相对比较。 阐述内容清楚、条理清晰、内容详实具体，计（6-10】分； 内容模糊、条理混乱、内容简单，计（3-6】分； 内容不全面、条理不明确、内容不详实，计（0-3】分。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提供供应商2022年4月1日至今同类项目业绩（合同或相应的验收文件），每份计2分，满分10分。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价格分统一采用低价优先法计算，即满足文件要求且投标价格最低的投标报价为评标基准价，其价格分为满分。其他供应商的价格分统一按照下列公式计算： 价格分=(评标基准价／投标报价)×报价分值 注：1、计算分数时四舍五入取小数点后两位； 2、落实政府采购政策：参见供应商须知前附表。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