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版本号：LDZB-25012520250416001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陕西省化工园区地下水环境风险预警及溯源项目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LDZB-250125</w:t>
      </w:r>
      <w:r>
        <w:br/>
      </w:r>
      <w:r>
        <w:br/>
      </w:r>
      <w:r>
        <w:br/>
      </w:r>
    </w:p>
    <w:p>
      <w:pPr>
        <w:pStyle w:val="null3"/>
        <w:jc w:val="center"/>
        <w:outlineLvl w:val="2"/>
      </w:pPr>
      <w:r>
        <w:rPr>
          <w:rFonts w:ascii="仿宋_GB2312" w:hAnsi="仿宋_GB2312" w:cs="仿宋_GB2312" w:eastAsia="仿宋_GB2312"/>
          <w:sz w:val="28"/>
          <w:b/>
        </w:rPr>
        <w:t>陕西省环境科学研究院</w:t>
      </w:r>
    </w:p>
    <w:p>
      <w:pPr>
        <w:pStyle w:val="null3"/>
        <w:jc w:val="center"/>
        <w:outlineLvl w:val="2"/>
      </w:pPr>
      <w:r>
        <w:rPr>
          <w:rFonts w:ascii="仿宋_GB2312" w:hAnsi="仿宋_GB2312" w:cs="仿宋_GB2312" w:eastAsia="仿宋_GB2312"/>
          <w:sz w:val="28"/>
          <w:b/>
        </w:rPr>
        <w:t>立德项目咨询集团（陕西）有限公司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立德项目咨询集团（陕西）有限公司</w:t>
      </w:r>
      <w:r>
        <w:rPr>
          <w:rFonts w:ascii="仿宋_GB2312" w:hAnsi="仿宋_GB2312" w:cs="仿宋_GB2312" w:eastAsia="仿宋_GB2312"/>
        </w:rPr>
        <w:t>（以下简称“代理机构”）受</w:t>
      </w:r>
      <w:r>
        <w:rPr>
          <w:rFonts w:ascii="仿宋_GB2312" w:hAnsi="仿宋_GB2312" w:cs="仿宋_GB2312" w:eastAsia="仿宋_GB2312"/>
        </w:rPr>
        <w:t>陕西省环境科学研究院</w:t>
      </w:r>
      <w:r>
        <w:rPr>
          <w:rFonts w:ascii="仿宋_GB2312" w:hAnsi="仿宋_GB2312" w:cs="仿宋_GB2312" w:eastAsia="仿宋_GB2312"/>
        </w:rPr>
        <w:t>委托，拟对</w:t>
      </w:r>
      <w:r>
        <w:rPr>
          <w:rFonts w:ascii="仿宋_GB2312" w:hAnsi="仿宋_GB2312" w:cs="仿宋_GB2312" w:eastAsia="仿宋_GB2312"/>
        </w:rPr>
        <w:t>陕西省化工园区地下水环境风险预警及溯源项目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LDZB-250125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陕西省化工园区地下水环境风险预警及溯源项目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化工园区地下水环境风险预警及溯源项目主要是通过分析陕西省化工园区地下水环境监管现状，整合评估各化工园区已有地下水监测井信息，补充新建地下水监测井，进一步健全我省化工园区地下水监测网络；初步构建化工园区地下水环境风险管理平台，实现地下水环境风险预警及溯源，为全省地下水生态环境管理、预警和决策提供科技支撑。</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陕西省环境科学研究院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西安市长安北路49号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029-85365392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立德项目咨询集团（陕西）有限公司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陕西省西安市浐灞生态区欧亚大道777号浐灞自贸中心项目E座803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刘思雨、黄姝源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029-86615942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采购包1：1,240,000.00元</w:t>
            </w:r>
          </w:p>
          <w:p>
            <w:pPr>
              <w:pStyle w:val="null3"/>
            </w:pPr>
            <w:r>
              <w:rPr>
                <w:rFonts w:ascii="仿宋_GB2312" w:hAnsi="仿宋_GB2312" w:cs="仿宋_GB2312" w:eastAsia="仿宋_GB2312"/>
              </w:rPr>
              <w:t>采购包2：410,000.00元</w:t>
            </w:r>
          </w:p>
          <w:p>
            <w:pPr>
              <w:pStyle w:val="null3"/>
            </w:pPr>
            <w:r>
              <w:rPr>
                <w:rFonts w:ascii="仿宋_GB2312" w:hAnsi="仿宋_GB2312" w:cs="仿宋_GB2312" w:eastAsia="仿宋_GB2312"/>
              </w:rPr>
              <w:t>采购包3：3,500,000.00元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采购包2保证金金额：6,000.00元</w:t>
            </w:r>
          </w:p>
          <w:p>
            <w:pPr>
              <w:pStyle w:val="null3"/>
            </w:pPr>
            <w:r>
              <w:rPr>
                <w:rFonts w:ascii="仿宋_GB2312" w:hAnsi="仿宋_GB2312" w:cs="仿宋_GB2312" w:eastAsia="仿宋_GB2312"/>
              </w:rPr>
              <w:t>采购包3保证金金额：35,000.00元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开户名称：立德项目咨询集团（陕西）有限公司</w:t>
            </w:r>
          </w:p>
          <w:p>
            <w:pPr>
              <w:pStyle w:val="null3"/>
            </w:pPr>
            <w:r>
              <w:rPr>
                <w:rFonts w:ascii="仿宋_GB2312" w:hAnsi="仿宋_GB2312" w:cs="仿宋_GB2312" w:eastAsia="仿宋_GB2312"/>
              </w:rPr>
              <w:t>开户银行：招商银行股份有限公司西安文景路支行</w:t>
            </w:r>
          </w:p>
          <w:p>
            <w:pPr>
              <w:pStyle w:val="null3"/>
            </w:pPr>
            <w:r>
              <w:rPr>
                <w:rFonts w:ascii="仿宋_GB2312" w:hAnsi="仿宋_GB2312" w:cs="仿宋_GB2312" w:eastAsia="仿宋_GB2312"/>
              </w:rPr>
              <w:t>银行账号：129916526210111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中标人后3日内，由中标人参照原国家计委颁发的《招标代理服务收费管理暂行办法》（计价格[2002]1980号）和国家发展改革委员会办公厅颁发的《关于招标代理服务收费有关问题的通知》（发改办价格[2003] 857号）的标准执行，向代理机构一次付清代理服务费。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陕西省环境科学研究院</w:t>
      </w:r>
      <w:r>
        <w:rPr>
          <w:rFonts w:ascii="仿宋_GB2312" w:hAnsi="仿宋_GB2312" w:cs="仿宋_GB2312" w:eastAsia="仿宋_GB2312"/>
        </w:rPr>
        <w:t>和</w:t>
      </w:r>
      <w:r>
        <w:rPr>
          <w:rFonts w:ascii="仿宋_GB2312" w:hAnsi="仿宋_GB2312" w:cs="仿宋_GB2312" w:eastAsia="仿宋_GB2312"/>
        </w:rPr>
        <w:t>立德项目咨询集团（陕西）有限公司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陕西省环境科学研究院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立德项目咨询集团（陕西）有限公司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陕西省环境科学研究院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立德项目咨询集团（陕西）有限公司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（一）招标文件、投标文件； （二）本合同及附件文本； （三）合同签订时国家及行业现行的标准和技术规范。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（一）招标文件、投标文件； （二）本合同及附件文本； （三）合同签订时国家及行业现行的标准和技术规范。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（一）招标文件、投标文件； （二）本合同及附件文本； （三）合同签订时国家及行业现行的标准和技术规范。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立德项目咨询集团（陕西）有限公司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立德项目咨询集团（陕西）有限公司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立德项目咨询集团（陕西）有限公司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联系人：刘思雨、黄姝源</w:t>
      </w:r>
    </w:p>
    <w:p>
      <w:pPr>
        <w:pStyle w:val="null3"/>
      </w:pPr>
      <w:r>
        <w:rPr>
          <w:rFonts w:ascii="仿宋_GB2312" w:hAnsi="仿宋_GB2312" w:cs="仿宋_GB2312" w:eastAsia="仿宋_GB2312"/>
        </w:rPr>
        <w:t>联系电话：029-86615942</w:t>
      </w:r>
    </w:p>
    <w:p>
      <w:pPr>
        <w:pStyle w:val="null3"/>
      </w:pPr>
      <w:r>
        <w:rPr>
          <w:rFonts w:ascii="仿宋_GB2312" w:hAnsi="仿宋_GB2312" w:cs="仿宋_GB2312" w:eastAsia="仿宋_GB2312"/>
        </w:rPr>
        <w:t>地址：陕西省西安市浐灞生态区欧亚大道777号浐灞自贸中心项目E座803</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化工园区地下水环境风险预警及溯源项目主要是通过分析陕西省化工园区地下水环境监管现状，整合评估各化工园区已有地下水监测井信息，补充新建地下水监测井，进一步健全我省化工园区地下水监测网络；初步构建化工园区地下水环境风险管理平台，实现地下水环境风险预警及溯源，为全省地下水生态环境管理、预警和决策提供科技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1,240,000.00</w:t>
      </w:r>
    </w:p>
    <w:p>
      <w:pPr>
        <w:pStyle w:val="null3"/>
      </w:pPr>
      <w:r>
        <w:rPr>
          <w:rFonts w:ascii="仿宋_GB2312" w:hAnsi="仿宋_GB2312" w:cs="仿宋_GB2312" w:eastAsia="仿宋_GB2312"/>
        </w:rPr>
        <w:t>采购包最高限价（元）: 1,240,000.00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地下水环境监测井建设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410,000.00</w:t>
      </w:r>
    </w:p>
    <w:p>
      <w:pPr>
        <w:pStyle w:val="null3"/>
      </w:pPr>
      <w:r>
        <w:rPr>
          <w:rFonts w:ascii="仿宋_GB2312" w:hAnsi="仿宋_GB2312" w:cs="仿宋_GB2312" w:eastAsia="仿宋_GB2312"/>
        </w:rPr>
        <w:t>采购包最高限价（元）: 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环境样品检测及综合分析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3,500,000.00</w:t>
      </w:r>
    </w:p>
    <w:p>
      <w:pPr>
        <w:pStyle w:val="null3"/>
      </w:pPr>
      <w:r>
        <w:rPr>
          <w:rFonts w:ascii="仿宋_GB2312" w:hAnsi="仿宋_GB2312" w:cs="仿宋_GB2312" w:eastAsia="仿宋_GB2312"/>
        </w:rPr>
        <w:t>采购包最高限价（元）: 3,500,000.00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化工园区地下水环境风险管理平台建设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标的名称：地下水环境监测井建设</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1"/>
                <w:b/>
                <w:color w:val="000000"/>
              </w:rPr>
              <w:t>一、项目概况</w:t>
            </w:r>
          </w:p>
          <w:p>
            <w:pPr>
              <w:pStyle w:val="null3"/>
              <w:ind w:firstLine="420"/>
              <w:jc w:val="both"/>
            </w:pPr>
            <w:r>
              <w:rPr>
                <w:rFonts w:ascii="仿宋_GB2312" w:hAnsi="仿宋_GB2312" w:cs="仿宋_GB2312" w:eastAsia="仿宋_GB2312"/>
                <w:sz w:val="21"/>
                <w:color w:val="000000"/>
              </w:rPr>
              <w:t>陕西省化工园区地下水环境风险预警及溯源项目主要是通过分析陕西省化工园区地下水环境监管现状，整合评估各化工园区已有地下水监测井信息，补充新建地下水监测井，进一步健全我省化工园区地下水监测网络；初步构建化工园区地下水环境风险管理平台，实现地下水环境风险预警及溯源，为全省地下水生态环境管理、预警和决策提供科技支撑。</w:t>
            </w:r>
          </w:p>
          <w:p>
            <w:pPr>
              <w:pStyle w:val="null3"/>
              <w:jc w:val="both"/>
            </w:pPr>
            <w:r>
              <w:rPr>
                <w:rFonts w:ascii="仿宋_GB2312" w:hAnsi="仿宋_GB2312" w:cs="仿宋_GB2312" w:eastAsia="仿宋_GB2312"/>
                <w:sz w:val="21"/>
                <w:b/>
                <w:color w:val="000000"/>
              </w:rPr>
              <w:t>二、采购内容</w:t>
            </w:r>
          </w:p>
          <w:p>
            <w:pPr>
              <w:pStyle w:val="null3"/>
              <w:ind w:firstLine="420"/>
              <w:jc w:val="left"/>
            </w:pPr>
            <w:r>
              <w:rPr>
                <w:rFonts w:ascii="仿宋_GB2312" w:hAnsi="仿宋_GB2312" w:cs="仿宋_GB2312" w:eastAsia="仿宋_GB2312"/>
                <w:sz w:val="21"/>
                <w:color w:val="000000"/>
              </w:rPr>
              <w:t>完成陕北、关中地区采购人指定的化工园区监测井建设和地下水井采样洗井。整合评估各化工园区已有地下水监测井信息，新建地下水监测井不少于</w:t>
            </w:r>
            <w:r>
              <w:rPr>
                <w:rFonts w:ascii="仿宋_GB2312" w:hAnsi="仿宋_GB2312" w:cs="仿宋_GB2312" w:eastAsia="仿宋_GB2312"/>
                <w:sz w:val="21"/>
                <w:color w:val="000000"/>
              </w:rPr>
              <w:t>20口，包括配套建设监测井井台和标识牌等井口保护设施；钻探总进尺不少于850米。完成地下水井采样洗井不少于568口次，并配合采购人完成采样。监测井建设和地下水井采样洗井满足《地下水监测工程技术规范》（GB/T51040—2014）、《地下水监测井建设规范》（DZ/T0270—2014）、《地下水环境监测技术规范》（HJ 164-2020）等相关技术规范要求。</w:t>
            </w:r>
          </w:p>
          <w:p>
            <w:pPr>
              <w:pStyle w:val="null3"/>
              <w:jc w:val="left"/>
            </w:pPr>
            <w:r>
              <w:rPr>
                <w:rFonts w:ascii="仿宋_GB2312" w:hAnsi="仿宋_GB2312" w:cs="仿宋_GB2312" w:eastAsia="仿宋_GB2312"/>
                <w:sz w:val="21"/>
                <w:b/>
                <w:color w:val="000000"/>
              </w:rPr>
              <w:t>三、技术和商务要求</w:t>
            </w:r>
          </w:p>
          <w:p>
            <w:pPr>
              <w:pStyle w:val="null3"/>
              <w:spacing w:after="165"/>
              <w:ind w:firstLine="420"/>
              <w:jc w:val="both"/>
            </w:pPr>
            <w:r>
              <w:rPr>
                <w:rFonts w:ascii="仿宋_GB2312" w:hAnsi="仿宋_GB2312" w:cs="仿宋_GB2312" w:eastAsia="仿宋_GB2312"/>
                <w:sz w:val="21"/>
                <w:color w:val="000000"/>
              </w:rPr>
              <w:t>1.受委托的专业机构或者其所在的组织应是能够独立承担法律责任的实体，有明确的法律地位，对其监测井建设和洗井质量负责，并承担相应法律责任；</w:t>
            </w:r>
          </w:p>
          <w:p>
            <w:pPr>
              <w:pStyle w:val="null3"/>
              <w:spacing w:after="165"/>
              <w:ind w:firstLine="420"/>
              <w:jc w:val="both"/>
            </w:pPr>
            <w:r>
              <w:rPr>
                <w:rFonts w:ascii="仿宋_GB2312" w:hAnsi="仿宋_GB2312" w:cs="仿宋_GB2312" w:eastAsia="仿宋_GB2312"/>
                <w:sz w:val="21"/>
                <w:color w:val="000000"/>
              </w:rPr>
              <w:t>2.具有与地下水环境状况调查工作相适应的质量体系认证和环境体系认证；</w:t>
            </w:r>
          </w:p>
          <w:p>
            <w:pPr>
              <w:pStyle w:val="null3"/>
              <w:spacing w:after="165"/>
              <w:ind w:firstLine="420"/>
              <w:jc w:val="both"/>
            </w:pPr>
            <w:r>
              <w:rPr>
                <w:rFonts w:ascii="仿宋_GB2312" w:hAnsi="仿宋_GB2312" w:cs="仿宋_GB2312" w:eastAsia="仿宋_GB2312"/>
                <w:sz w:val="21"/>
                <w:color w:val="000000"/>
              </w:rPr>
              <w:t>3.技术团队要求：技术人员中级以上人数不应少于11人，专业范围包括环境、土壤、水文地质、勘探等相关专业；11人中钻探人员应具有钻探专业工程师及以上职称，并具有2年以上钻探工作经验；项目负责人应具有高级以上职称，并具有2年以上的环境调查或同类工作经验。</w:t>
            </w:r>
          </w:p>
          <w:p>
            <w:pPr>
              <w:pStyle w:val="null3"/>
              <w:spacing w:after="165"/>
              <w:ind w:firstLine="420"/>
              <w:jc w:val="both"/>
            </w:pPr>
            <w:r>
              <w:rPr>
                <w:rFonts w:ascii="仿宋_GB2312" w:hAnsi="仿宋_GB2312" w:cs="仿宋_GB2312" w:eastAsia="仿宋_GB2312"/>
                <w:sz w:val="21"/>
                <w:color w:val="000000"/>
              </w:rPr>
              <w:t>4.建井工作至少配备2套钻探建井设备能满足土壤非扰动样采取（孔径不小于ø110mm，孔深30m内）、地层鉴别岩心采取（孔径不小于ø110mm，孔深100m内）、监测井建设（终孔成孔口径不小于ø325mm,孔深100m内）的钻探建井设备。</w:t>
            </w:r>
          </w:p>
          <w:p>
            <w:pPr>
              <w:pStyle w:val="null3"/>
              <w:spacing w:after="165"/>
              <w:ind w:firstLine="420"/>
              <w:jc w:val="both"/>
            </w:pPr>
            <w:r>
              <w:rPr>
                <w:rFonts w:ascii="仿宋_GB2312" w:hAnsi="仿宋_GB2312" w:cs="仿宋_GB2312" w:eastAsia="仿宋_GB2312"/>
                <w:sz w:val="21"/>
                <w:color w:val="000000"/>
              </w:rPr>
              <w:t>5.现场钻探技术负责人应具备场地调查现场钻探采样及处理突发情况的经验。一般现场钻探人员应具有水文地质钻探经验；</w:t>
            </w:r>
          </w:p>
          <w:p>
            <w:pPr>
              <w:pStyle w:val="null3"/>
              <w:spacing w:after="165"/>
              <w:ind w:firstLine="420"/>
              <w:jc w:val="both"/>
            </w:pPr>
            <w:r>
              <w:rPr>
                <w:rFonts w:ascii="仿宋_GB2312" w:hAnsi="仿宋_GB2312" w:cs="仿宋_GB2312" w:eastAsia="仿宋_GB2312"/>
                <w:sz w:val="21"/>
                <w:color w:val="000000"/>
              </w:rPr>
              <w:t>6.供应商应配合采样人员做好样品采集、保存和流转工作，在采样人员监督和指导下，负责土壤孔每回次钻探进尺、地下水样品采集前的洗井和样品采集过程中的汲水工作。</w:t>
            </w:r>
          </w:p>
          <w:p>
            <w:pPr>
              <w:pStyle w:val="null3"/>
              <w:ind w:firstLine="420"/>
              <w:jc w:val="both"/>
            </w:pPr>
            <w:r>
              <w:rPr>
                <w:rFonts w:ascii="仿宋_GB2312" w:hAnsi="仿宋_GB2312" w:cs="仿宋_GB2312" w:eastAsia="仿宋_GB2312"/>
                <w:sz w:val="21"/>
                <w:color w:val="000000"/>
              </w:rPr>
              <w:t>7.受委托的专业机构及其工作人员对其在调查工作中所知悉的国家秘密、商业秘密和技术秘密负有保密义务，并制订实施相应的保密规定，落实保密责任。</w:t>
            </w:r>
          </w:p>
          <w:p>
            <w:pPr>
              <w:pStyle w:val="null3"/>
              <w:ind w:firstLine="420"/>
              <w:jc w:val="both"/>
            </w:pPr>
            <w:r>
              <w:rPr>
                <w:rFonts w:ascii="仿宋_GB2312" w:hAnsi="仿宋_GB2312" w:cs="仿宋_GB2312" w:eastAsia="仿宋_GB2312"/>
                <w:sz w:val="21"/>
                <w:color w:val="000000"/>
              </w:rPr>
              <w:t>8.针对本项目提供明确的项目团队人员，要求人员为投标单位在职人员，具体详见评审细则及标准。</w:t>
            </w:r>
          </w:p>
          <w:p>
            <w:pPr>
              <w:pStyle w:val="null3"/>
              <w:spacing w:after="165"/>
              <w:ind w:firstLine="420"/>
              <w:jc w:val="both"/>
            </w:pPr>
            <w:r>
              <w:rPr>
                <w:rFonts w:ascii="仿宋_GB2312" w:hAnsi="仿宋_GB2312" w:cs="仿宋_GB2312" w:eastAsia="仿宋_GB2312"/>
                <w:sz w:val="21"/>
                <w:color w:val="000000"/>
              </w:rPr>
              <w:t>9.具有履行合同所必需的设施设备，满足项目需求。</w:t>
            </w:r>
          </w:p>
          <w:p>
            <w:pPr>
              <w:pStyle w:val="null3"/>
              <w:spacing w:after="165"/>
              <w:ind w:firstLine="420"/>
              <w:jc w:val="both"/>
            </w:pPr>
            <w:r>
              <w:rPr>
                <w:rFonts w:ascii="仿宋_GB2312" w:hAnsi="仿宋_GB2312" w:cs="仿宋_GB2312" w:eastAsia="仿宋_GB2312"/>
                <w:sz w:val="21"/>
                <w:color w:val="000000"/>
              </w:rPr>
              <w:t>10.服务期限：合同签订后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内完成；</w:t>
            </w:r>
          </w:p>
          <w:p>
            <w:pPr>
              <w:pStyle w:val="null3"/>
              <w:spacing w:after="165"/>
              <w:ind w:firstLine="420"/>
              <w:jc w:val="both"/>
            </w:pPr>
            <w:r>
              <w:rPr>
                <w:rFonts w:ascii="仿宋_GB2312" w:hAnsi="仿宋_GB2312" w:cs="仿宋_GB2312" w:eastAsia="仿宋_GB2312"/>
                <w:sz w:val="21"/>
                <w:color w:val="000000"/>
              </w:rPr>
              <w:t>11.服务地点：按采购人要求。</w:t>
            </w:r>
          </w:p>
          <w:p>
            <w:pPr>
              <w:pStyle w:val="null3"/>
              <w:jc w:val="left"/>
            </w:pPr>
            <w:r>
              <w:rPr>
                <w:rFonts w:ascii="仿宋_GB2312" w:hAnsi="仿宋_GB2312" w:cs="仿宋_GB2312" w:eastAsia="仿宋_GB2312"/>
                <w:sz w:val="21"/>
                <w:b/>
                <w:color w:val="000000"/>
              </w:rPr>
              <w:t>四、保密要求</w:t>
            </w:r>
          </w:p>
          <w:p>
            <w:pPr>
              <w:pStyle w:val="null3"/>
              <w:ind w:firstLine="420"/>
              <w:jc w:val="both"/>
            </w:pPr>
            <w:r>
              <w:rPr>
                <w:rFonts w:ascii="仿宋_GB2312" w:hAnsi="仿宋_GB2312" w:cs="仿宋_GB2312" w:eastAsia="仿宋_GB2312"/>
                <w:sz w:val="21"/>
                <w:color w:val="000000"/>
              </w:rPr>
              <w:t>由采购人收集的、开发的、整理的、复制的、研究的和准备的与本项目工作有关的所有资料在提供给中标人时，均被视为保密的，不得泄露给除采购人或指定的代表之外的任何人、企业或公司，不管本项目因何种原因终止，本保密条款一直约束中标人；中标人在履行合同过程中所获得或接触到的任何内部数据资料，未经采购人同意，不得向第三方透露；中标人实施项目的一切程序都应符合国家安全、保密的有关规定和招标文件、中标人投标文件、国家和行业有关规范、规程和标准。</w:t>
            </w:r>
          </w:p>
          <w:p>
            <w:pPr>
              <w:pStyle w:val="null3"/>
              <w:spacing w:after="165"/>
              <w:jc w:val="left"/>
            </w:pPr>
            <w:r>
              <w:rPr>
                <w:rFonts w:ascii="仿宋_GB2312" w:hAnsi="仿宋_GB2312" w:cs="仿宋_GB2312" w:eastAsia="仿宋_GB2312"/>
                <w:sz w:val="21"/>
                <w:b/>
                <w:color w:val="000000"/>
              </w:rPr>
              <w:t>五、报价要求</w:t>
            </w:r>
          </w:p>
          <w:p>
            <w:pPr>
              <w:pStyle w:val="null3"/>
              <w:ind w:firstLine="420"/>
              <w:jc w:val="left"/>
            </w:pPr>
            <w:r>
              <w:rPr>
                <w:rFonts w:ascii="仿宋_GB2312" w:hAnsi="仿宋_GB2312" w:cs="仿宋_GB2312" w:eastAsia="仿宋_GB2312"/>
                <w:sz w:val="21"/>
                <w:color w:val="000000"/>
              </w:rPr>
              <w:t>在项目实施过程中可能出现任务量增加情况，投标人报价应将此差异考虑在投标报价中，合同总价一次包死。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标的名称：环境样品检测及综合分析</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1"/>
                <w:b/>
                <w:color w:val="000000"/>
              </w:rPr>
              <w:t>一、项目概况</w:t>
            </w:r>
          </w:p>
          <w:p>
            <w:pPr>
              <w:pStyle w:val="null3"/>
              <w:ind w:firstLine="420"/>
              <w:jc w:val="both"/>
            </w:pPr>
            <w:r>
              <w:rPr>
                <w:rFonts w:ascii="仿宋_GB2312" w:hAnsi="仿宋_GB2312" w:cs="仿宋_GB2312" w:eastAsia="仿宋_GB2312"/>
                <w:sz w:val="21"/>
                <w:color w:val="000000"/>
              </w:rPr>
              <w:t>陕西省化工园区地下水环境风险预警及溯源项目主要是通过分析陕西省化工园区地下水环境监管现状，整合评估各化工园区已有地下水监测井信息，补充新建地下水监测井，进一步健全我省化工园区地下水监测网络；初步构建化工园区地下水环境风险管理平台，实现地下水环境风险预警及溯源，为全省地下水生态环境管理、预警和决策提供科技支撑。</w:t>
            </w:r>
          </w:p>
          <w:p>
            <w:pPr>
              <w:pStyle w:val="null3"/>
              <w:jc w:val="both"/>
            </w:pPr>
            <w:r>
              <w:rPr>
                <w:rFonts w:ascii="仿宋_GB2312" w:hAnsi="仿宋_GB2312" w:cs="仿宋_GB2312" w:eastAsia="仿宋_GB2312"/>
                <w:sz w:val="21"/>
                <w:b/>
                <w:color w:val="000000"/>
              </w:rPr>
              <w:t>二、采购内容</w:t>
            </w:r>
          </w:p>
          <w:p>
            <w:pPr>
              <w:pStyle w:val="null3"/>
              <w:ind w:firstLine="420"/>
              <w:jc w:val="both"/>
            </w:pPr>
            <w:r>
              <w:rPr>
                <w:rFonts w:ascii="仿宋_GB2312" w:hAnsi="仿宋_GB2312" w:cs="仿宋_GB2312" w:eastAsia="仿宋_GB2312"/>
                <w:sz w:val="21"/>
                <w:color w:val="000000"/>
              </w:rPr>
              <w:t>完成陕北、关中地区化工园区土壤和地下水样品分析测试。包括：土壤颗粒分析不少于</w:t>
            </w:r>
            <w:r>
              <w:rPr>
                <w:rFonts w:ascii="仿宋_GB2312" w:hAnsi="仿宋_GB2312" w:cs="仿宋_GB2312" w:eastAsia="仿宋_GB2312"/>
                <w:sz w:val="21"/>
                <w:color w:val="000000"/>
              </w:rPr>
              <w:t>120件、土壤物理性质（密度、含水率、渗透系数等）测试不少于120件，矿物X衍射分析或电镜扫描不少于120件，地下水氮同位素样品取样和测试不少于150件、微生物宏基因组或转录组测序样品不少于35件。并对上述样品测试数据进行综合分析。</w:t>
            </w:r>
          </w:p>
          <w:p>
            <w:pPr>
              <w:pStyle w:val="null3"/>
              <w:jc w:val="both"/>
            </w:pPr>
            <w:r>
              <w:rPr>
                <w:rFonts w:ascii="仿宋_GB2312" w:hAnsi="仿宋_GB2312" w:cs="仿宋_GB2312" w:eastAsia="仿宋_GB2312"/>
                <w:sz w:val="21"/>
                <w:b/>
                <w:color w:val="000000"/>
              </w:rPr>
              <w:t>三、技术和商务要求</w:t>
            </w:r>
          </w:p>
          <w:p>
            <w:pPr>
              <w:pStyle w:val="null3"/>
              <w:ind w:firstLine="420"/>
              <w:jc w:val="both"/>
            </w:pPr>
            <w:r>
              <w:rPr>
                <w:rFonts w:ascii="仿宋_GB2312" w:hAnsi="仿宋_GB2312" w:cs="仿宋_GB2312" w:eastAsia="仿宋_GB2312"/>
                <w:sz w:val="21"/>
                <w:color w:val="000000"/>
              </w:rPr>
              <w:t>1.受委托的专业机构或者其所在的组织应是能够独立承担法律责任的实体，有明确的法律地位，对其分析测试结果负责，并承担相应法律责任。</w:t>
            </w:r>
          </w:p>
          <w:p>
            <w:pPr>
              <w:pStyle w:val="null3"/>
              <w:ind w:firstLine="420"/>
              <w:jc w:val="both"/>
            </w:pPr>
            <w:r>
              <w:rPr>
                <w:rFonts w:ascii="仿宋_GB2312" w:hAnsi="仿宋_GB2312" w:cs="仿宋_GB2312" w:eastAsia="仿宋_GB2312"/>
                <w:sz w:val="21"/>
                <w:color w:val="000000"/>
              </w:rPr>
              <w:t>2.受委托的专业机构及其工作人员对其在调查工作中所知悉的国家秘密、商业秘密和技术秘密负有保密义务，并制订实施相应的保密规定，落实保密责任。</w:t>
            </w:r>
          </w:p>
          <w:p>
            <w:pPr>
              <w:pStyle w:val="null3"/>
              <w:ind w:firstLine="420"/>
              <w:jc w:val="both"/>
            </w:pPr>
            <w:r>
              <w:rPr>
                <w:rFonts w:ascii="仿宋_GB2312" w:hAnsi="仿宋_GB2312" w:cs="仿宋_GB2312" w:eastAsia="仿宋_GB2312"/>
                <w:sz w:val="21"/>
                <w:color w:val="000000"/>
              </w:rPr>
              <w:t>3.参与本项目的工作人员不得少于5人，工作人员从事相关工作3年以上。</w:t>
            </w:r>
          </w:p>
          <w:p>
            <w:pPr>
              <w:pStyle w:val="null3"/>
              <w:ind w:firstLine="420"/>
              <w:jc w:val="both"/>
            </w:pPr>
            <w:r>
              <w:rPr>
                <w:rFonts w:ascii="仿宋_GB2312" w:hAnsi="仿宋_GB2312" w:cs="仿宋_GB2312" w:eastAsia="仿宋_GB2312"/>
                <w:sz w:val="21"/>
                <w:color w:val="000000"/>
              </w:rPr>
              <w:t>4.针对本项目提供明确的项目团队人员，要求人员为投标单位在职人员，具体详见评审细则及标准。</w:t>
            </w:r>
          </w:p>
          <w:p>
            <w:pPr>
              <w:pStyle w:val="null3"/>
              <w:ind w:firstLine="420"/>
              <w:jc w:val="both"/>
            </w:pPr>
            <w:r>
              <w:rPr>
                <w:rFonts w:ascii="仿宋_GB2312" w:hAnsi="仿宋_GB2312" w:cs="仿宋_GB2312" w:eastAsia="仿宋_GB2312"/>
                <w:sz w:val="21"/>
                <w:color w:val="000000"/>
              </w:rPr>
              <w:t>5.具有履行合同所必需的设施设备，满足项目需求。</w:t>
            </w:r>
          </w:p>
          <w:p>
            <w:pPr>
              <w:pStyle w:val="null3"/>
              <w:ind w:firstLine="420"/>
              <w:jc w:val="both"/>
            </w:pPr>
            <w:r>
              <w:rPr>
                <w:rFonts w:ascii="仿宋_GB2312" w:hAnsi="仿宋_GB2312" w:cs="仿宋_GB2312" w:eastAsia="仿宋_GB2312"/>
                <w:sz w:val="21"/>
                <w:color w:val="000000"/>
              </w:rPr>
              <w:t>6.服务期限：</w:t>
            </w: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6个月内完成</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7.服务地点：按采购人要求。</w:t>
            </w:r>
          </w:p>
          <w:p>
            <w:pPr>
              <w:pStyle w:val="null3"/>
              <w:jc w:val="left"/>
            </w:pPr>
            <w:r>
              <w:rPr>
                <w:rFonts w:ascii="仿宋_GB2312" w:hAnsi="仿宋_GB2312" w:cs="仿宋_GB2312" w:eastAsia="仿宋_GB2312"/>
                <w:sz w:val="21"/>
                <w:b/>
                <w:color w:val="000000"/>
              </w:rPr>
              <w:t>四、保密要求</w:t>
            </w:r>
          </w:p>
          <w:p>
            <w:pPr>
              <w:pStyle w:val="null3"/>
              <w:spacing w:after="165"/>
              <w:ind w:firstLine="420"/>
              <w:jc w:val="both"/>
            </w:pPr>
            <w:r>
              <w:rPr>
                <w:rFonts w:ascii="仿宋_GB2312" w:hAnsi="仿宋_GB2312" w:cs="仿宋_GB2312" w:eastAsia="仿宋_GB2312"/>
                <w:sz w:val="21"/>
                <w:color w:val="000000"/>
              </w:rPr>
              <w:t>由采购人收集的、开发的、整理的、复制的、研究的和准备的与本项目工作有关的所有资料在提供给中标人时，均被视为保密的，不得泄露给除采购人或指定的代表之外的任何人、企业或公司，不管本项目因何种原因终止，本保密条款一直约束中标人；中标人在履行合同过程中所获得或接触到的任何内部数据资料，未经采购人同意，不得向第三方透露；中标人实施项目的一切程序都应符合国家安全、保密的有关规定和招标文件、中标人投标文件、国家和行业有关规范、规程和标准。</w:t>
            </w:r>
          </w:p>
          <w:p>
            <w:pPr>
              <w:pStyle w:val="null3"/>
              <w:spacing w:after="165"/>
              <w:jc w:val="left"/>
            </w:pPr>
            <w:r>
              <w:rPr>
                <w:rFonts w:ascii="仿宋_GB2312" w:hAnsi="仿宋_GB2312" w:cs="仿宋_GB2312" w:eastAsia="仿宋_GB2312"/>
                <w:sz w:val="21"/>
                <w:b/>
                <w:color w:val="000000"/>
              </w:rPr>
              <w:t>五、报价要求</w:t>
            </w:r>
          </w:p>
          <w:p>
            <w:pPr>
              <w:pStyle w:val="null3"/>
              <w:ind w:firstLine="420"/>
              <w:jc w:val="left"/>
            </w:pPr>
            <w:r>
              <w:rPr>
                <w:rFonts w:ascii="仿宋_GB2312" w:hAnsi="仿宋_GB2312" w:cs="仿宋_GB2312" w:eastAsia="仿宋_GB2312"/>
                <w:sz w:val="21"/>
                <w:color w:val="000000"/>
              </w:rPr>
              <w:t>在项目实施过程中可能出现任务量增加情况，投标人报价应将此差异考虑在投标报价中，合同总价一次包死。</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标的名称：化工园区地下水环境风险管理平台建设</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1"/>
                <w:b/>
                <w:color w:val="000000"/>
              </w:rPr>
              <w:t>一、项目概况</w:t>
            </w:r>
          </w:p>
          <w:p>
            <w:pPr>
              <w:pStyle w:val="null3"/>
              <w:ind w:firstLine="420"/>
              <w:jc w:val="both"/>
            </w:pPr>
            <w:r>
              <w:rPr>
                <w:rFonts w:ascii="仿宋_GB2312" w:hAnsi="仿宋_GB2312" w:cs="仿宋_GB2312" w:eastAsia="仿宋_GB2312"/>
                <w:sz w:val="21"/>
                <w:color w:val="000000"/>
              </w:rPr>
              <w:t>陕西省化工园区地下水环境风险预警及溯源项目主要是通过分析陕西省化工园区地下水环境监管现状，整合评估各化工园区已有地下水监测井信息，补充新建地下水监测井，进一步健全我省化工园区地下水监测网络；初步构建化工园区地下水环境风险管理平台，实现地下水环境风险预警及溯源，为全省地下水生态环境管理、预警和决策提供科技支撑。</w:t>
            </w:r>
          </w:p>
          <w:p>
            <w:pPr>
              <w:pStyle w:val="null3"/>
              <w:jc w:val="both"/>
            </w:pPr>
            <w:r>
              <w:rPr>
                <w:rFonts w:ascii="仿宋_GB2312" w:hAnsi="仿宋_GB2312" w:cs="仿宋_GB2312" w:eastAsia="仿宋_GB2312"/>
                <w:sz w:val="21"/>
                <w:b/>
                <w:color w:val="000000"/>
              </w:rPr>
              <w:t>二、采购内容</w:t>
            </w:r>
          </w:p>
          <w:p>
            <w:pPr>
              <w:pStyle w:val="null3"/>
              <w:ind w:firstLine="420"/>
              <w:jc w:val="both"/>
            </w:pPr>
            <w:r>
              <w:rPr>
                <w:rFonts w:ascii="仿宋_GB2312" w:hAnsi="仿宋_GB2312" w:cs="仿宋_GB2312" w:eastAsia="仿宋_GB2312"/>
                <w:sz w:val="21"/>
                <w:color w:val="000000"/>
              </w:rPr>
              <w:t>完成化工园区地下水环境风险管理平台建设，包括编制平台建设实施方案</w:t>
            </w:r>
            <w:r>
              <w:rPr>
                <w:rFonts w:ascii="仿宋_GB2312" w:hAnsi="仿宋_GB2312" w:cs="仿宋_GB2312" w:eastAsia="仿宋_GB2312"/>
                <w:sz w:val="21"/>
                <w:color w:val="000000"/>
              </w:rPr>
              <w:t>1套，编制培训方案1套；开展化工园区监测井信息整合评估、地下水同位素溯源解析和地下水污染分布与水土介质迁移规律解析、化工园区地下水环境风险管理平台开发及测试等相关工作；采购数据库软件1套、操作系统2套、中间件2套。</w:t>
            </w:r>
          </w:p>
          <w:p>
            <w:pPr>
              <w:pStyle w:val="null3"/>
              <w:spacing w:after="120"/>
              <w:jc w:val="both"/>
            </w:pPr>
            <w:r>
              <w:rPr>
                <w:rFonts w:ascii="仿宋_GB2312" w:hAnsi="仿宋_GB2312" w:cs="仿宋_GB2312" w:eastAsia="仿宋_GB2312"/>
                <w:sz w:val="21"/>
                <w:b/>
                <w:color w:val="000000"/>
              </w:rPr>
              <w:t>三、技术和商务要求</w:t>
            </w:r>
          </w:p>
          <w:p>
            <w:pPr>
              <w:pStyle w:val="null3"/>
              <w:ind w:firstLine="420"/>
              <w:jc w:val="both"/>
            </w:pPr>
            <w:r>
              <w:rPr>
                <w:rFonts w:ascii="仿宋_GB2312" w:hAnsi="仿宋_GB2312" w:cs="仿宋_GB2312" w:eastAsia="仿宋_GB2312"/>
                <w:sz w:val="21"/>
                <w:b/>
                <w:color w:val="000000"/>
              </w:rPr>
              <w:t>1.整体要求</w:t>
            </w:r>
          </w:p>
          <w:p>
            <w:pPr>
              <w:pStyle w:val="null3"/>
              <w:ind w:firstLine="420"/>
              <w:jc w:val="both"/>
            </w:pPr>
            <w:r>
              <w:rPr>
                <w:rFonts w:ascii="仿宋_GB2312" w:hAnsi="仿宋_GB2312" w:cs="仿宋_GB2312" w:eastAsia="仿宋_GB2312"/>
                <w:sz w:val="21"/>
                <w:color w:val="000000"/>
              </w:rPr>
              <w:t>遵循行业规范和国家标准，组件化开发，各子系统要有统一的权限管理，系统软件应满足后期深度开发功能，遵守保密原则。</w:t>
            </w:r>
          </w:p>
          <w:p>
            <w:pPr>
              <w:pStyle w:val="null3"/>
              <w:ind w:firstLine="420"/>
              <w:jc w:val="both"/>
            </w:pPr>
            <w:r>
              <w:rPr>
                <w:rFonts w:ascii="仿宋_GB2312" w:hAnsi="仿宋_GB2312" w:cs="仿宋_GB2312" w:eastAsia="仿宋_GB2312"/>
                <w:sz w:val="21"/>
                <w:b/>
                <w:color w:val="000000"/>
              </w:rPr>
              <w:t>2.安全要求</w:t>
            </w:r>
          </w:p>
          <w:p>
            <w:pPr>
              <w:pStyle w:val="null3"/>
              <w:ind w:firstLine="420"/>
              <w:jc w:val="left"/>
            </w:pPr>
            <w:r>
              <w:rPr>
                <w:rFonts w:ascii="仿宋_GB2312" w:hAnsi="仿宋_GB2312" w:cs="仿宋_GB2312" w:eastAsia="仿宋_GB2312"/>
                <w:sz w:val="21"/>
                <w:color w:val="000000"/>
              </w:rPr>
              <w:t>本项目数据涉及环境质量能敏感信息，如何保障网络信息系统运行的安全性、稳定性、高效性是平台建设中的一项重要内容，主要包括数据安全、网络安全、应用安全等方面。</w:t>
            </w:r>
          </w:p>
          <w:p>
            <w:pPr>
              <w:pStyle w:val="null3"/>
              <w:ind w:firstLine="420"/>
              <w:jc w:val="left"/>
            </w:pPr>
            <w:r>
              <w:rPr>
                <w:rFonts w:ascii="仿宋_GB2312" w:hAnsi="仿宋_GB2312" w:cs="仿宋_GB2312" w:eastAsia="仿宋_GB2312"/>
                <w:sz w:val="21"/>
                <w:color w:val="000000"/>
              </w:rPr>
              <w:t>数据安全要求：实施方在数据处理过程中应充分考虑数据安全技术，涵盖数据获取、存储、使用及销毁等数据全生命周期各个阶段，规避可能出现的数据安全问题和隐私风险，提供身份与访问管理、数据防篡改等功能。</w:t>
            </w:r>
          </w:p>
          <w:p>
            <w:pPr>
              <w:pStyle w:val="null3"/>
              <w:ind w:firstLine="420"/>
              <w:jc w:val="left"/>
            </w:pPr>
            <w:r>
              <w:rPr>
                <w:rFonts w:ascii="仿宋_GB2312" w:hAnsi="仿宋_GB2312" w:cs="仿宋_GB2312" w:eastAsia="仿宋_GB2312"/>
                <w:sz w:val="21"/>
                <w:color w:val="000000"/>
              </w:rPr>
              <w:t>网络安全要求：实施方应进行定期安全巡检，内容包括但不限于基线检查、漏洞检查、风险文件扫描、弱口令检测等，巡检结果生成报告，可自动发送给用户，便于用户了解系统安全情况。</w:t>
            </w:r>
          </w:p>
          <w:p>
            <w:pPr>
              <w:pStyle w:val="null3"/>
              <w:ind w:firstLine="420"/>
              <w:jc w:val="left"/>
            </w:pPr>
            <w:r>
              <w:rPr>
                <w:rFonts w:ascii="仿宋_GB2312" w:hAnsi="仿宋_GB2312" w:cs="仿宋_GB2312" w:eastAsia="仿宋_GB2312"/>
                <w:sz w:val="21"/>
                <w:color w:val="000000"/>
              </w:rPr>
              <w:t>应用安全要求：实施方在身份认证方面需实现采用口令、动态验证码、生物识别技术等两种或两种以上组合的鉴别技术对登录的用户进行身份标识和鉴别，同时在访问控制方面需实现账户及权限的自定义调整。</w:t>
            </w:r>
          </w:p>
          <w:p>
            <w:pPr>
              <w:pStyle w:val="null3"/>
              <w:ind w:firstLine="420"/>
              <w:jc w:val="both"/>
            </w:pPr>
            <w:r>
              <w:rPr>
                <w:rFonts w:ascii="仿宋_GB2312" w:hAnsi="仿宋_GB2312" w:cs="仿宋_GB2312" w:eastAsia="仿宋_GB2312"/>
                <w:sz w:val="21"/>
                <w:b/>
                <w:color w:val="000000"/>
              </w:rPr>
              <w:t>3.性能要求</w:t>
            </w:r>
          </w:p>
          <w:p>
            <w:pPr>
              <w:pStyle w:val="null3"/>
              <w:ind w:firstLine="420"/>
              <w:jc w:val="left"/>
            </w:pPr>
            <w:r>
              <w:rPr>
                <w:rFonts w:ascii="仿宋_GB2312" w:hAnsi="仿宋_GB2312" w:cs="仿宋_GB2312" w:eastAsia="仿宋_GB2312"/>
                <w:sz w:val="21"/>
                <w:color w:val="000000"/>
              </w:rPr>
              <w:t>在平台设计时，综合考虑用户量、业务量、数据量、服务器负载，通过负载均衡、资源弹性加载等性能优化策略，尽可能降低平台负载，降低用户操作响应时限，增强用户使用体验。满足以下性能要求：</w:t>
            </w:r>
          </w:p>
          <w:p>
            <w:pPr>
              <w:pStyle w:val="null3"/>
              <w:ind w:firstLine="420"/>
              <w:jc w:val="left"/>
            </w:pPr>
            <w:r>
              <w:rPr>
                <w:rFonts w:ascii="仿宋_GB2312" w:hAnsi="仿宋_GB2312" w:cs="仿宋_GB2312" w:eastAsia="仿宋_GB2312"/>
                <w:sz w:val="21"/>
                <w:color w:val="000000"/>
              </w:rPr>
              <w:t>可用性：要提供</w:t>
            </w:r>
            <w:r>
              <w:rPr>
                <w:rFonts w:ascii="仿宋_GB2312" w:hAnsi="仿宋_GB2312" w:cs="仿宋_GB2312" w:eastAsia="仿宋_GB2312"/>
                <w:sz w:val="21"/>
                <w:color w:val="000000"/>
              </w:rPr>
              <w:t>7×24 小时的连续运行，平均年故障时间&lt;1天。</w:t>
            </w:r>
          </w:p>
          <w:p>
            <w:pPr>
              <w:pStyle w:val="null3"/>
              <w:ind w:firstLine="420"/>
              <w:jc w:val="left"/>
            </w:pPr>
            <w:r>
              <w:rPr>
                <w:rFonts w:ascii="仿宋_GB2312" w:hAnsi="仿宋_GB2312" w:cs="仿宋_GB2312" w:eastAsia="仿宋_GB2312"/>
                <w:sz w:val="21"/>
                <w:color w:val="000000"/>
              </w:rPr>
              <w:t>安全性：要能按各用户的实际需求进行权限分配、划分安全等级，保障系统和数据的安全。</w:t>
            </w:r>
          </w:p>
          <w:p>
            <w:pPr>
              <w:pStyle w:val="null3"/>
              <w:spacing w:after="165"/>
              <w:ind w:firstLine="420"/>
              <w:jc w:val="both"/>
            </w:pPr>
            <w:r>
              <w:rPr>
                <w:rFonts w:ascii="仿宋_GB2312" w:hAnsi="仿宋_GB2312" w:cs="仿宋_GB2312" w:eastAsia="仿宋_GB2312"/>
                <w:sz w:val="21"/>
                <w:color w:val="000000"/>
              </w:rPr>
              <w:t>可靠性：应具有较强的故障恢复能力。</w:t>
            </w:r>
          </w:p>
          <w:p>
            <w:pPr>
              <w:pStyle w:val="null3"/>
              <w:spacing w:after="165"/>
              <w:ind w:firstLine="420"/>
              <w:jc w:val="both"/>
            </w:pPr>
            <w:r>
              <w:rPr>
                <w:rFonts w:ascii="仿宋_GB2312" w:hAnsi="仿宋_GB2312" w:cs="仿宋_GB2312" w:eastAsia="仿宋_GB2312"/>
                <w:sz w:val="21"/>
                <w:color w:val="000000"/>
              </w:rPr>
              <w:t>扩展性：系统发生变化时，应能方便进行扩充，支持负载的划分与均衡，保证合理的响应时间和吞吐量</w:t>
            </w:r>
            <w:r>
              <w:rPr>
                <w:rFonts w:ascii="仿宋_GB2312" w:hAnsi="仿宋_GB2312" w:cs="仿宋_GB2312" w:eastAsia="仿宋_GB2312"/>
                <w:sz w:val="21"/>
                <w:color w:val="000000"/>
              </w:rPr>
              <w:t>, 应充分考虑纵向、横向的平滑扩张能力。</w:t>
            </w:r>
          </w:p>
          <w:p>
            <w:pPr>
              <w:pStyle w:val="null3"/>
              <w:ind w:firstLine="420"/>
              <w:jc w:val="both"/>
            </w:pPr>
            <w:r>
              <w:rPr>
                <w:rFonts w:ascii="仿宋_GB2312" w:hAnsi="仿宋_GB2312" w:cs="仿宋_GB2312" w:eastAsia="仿宋_GB2312"/>
                <w:sz w:val="21"/>
                <w:color w:val="000000"/>
              </w:rPr>
              <w:t>易用性：充分考虑当前用户数量，并考虑充分的冗余，保证高并发时的正常使用。</w:t>
            </w:r>
          </w:p>
          <w:p>
            <w:pPr>
              <w:pStyle w:val="null3"/>
              <w:ind w:firstLine="420"/>
              <w:jc w:val="both"/>
            </w:pPr>
            <w:r>
              <w:rPr>
                <w:rFonts w:ascii="仿宋_GB2312" w:hAnsi="仿宋_GB2312" w:cs="仿宋_GB2312" w:eastAsia="仿宋_GB2312"/>
                <w:sz w:val="21"/>
                <w:b/>
                <w:color w:val="000000"/>
              </w:rPr>
              <w:t>4.界面规范要求</w:t>
            </w:r>
          </w:p>
          <w:p>
            <w:pPr>
              <w:pStyle w:val="null3"/>
              <w:spacing w:after="165"/>
              <w:ind w:firstLine="420"/>
              <w:jc w:val="both"/>
            </w:pPr>
            <w:r>
              <w:rPr>
                <w:rFonts w:ascii="仿宋_GB2312" w:hAnsi="仿宋_GB2312" w:cs="仿宋_GB2312" w:eastAsia="仿宋_GB2312"/>
                <w:sz w:val="21"/>
                <w:color w:val="000000"/>
              </w:rPr>
              <w:t>界面设计：针对登陆、布局、按钮、面板、菜单、标签、图标等，结合具体业务特点，在不破坏业务完整性的前提下统一界面风格，以满足最佳使用效果。</w:t>
            </w:r>
          </w:p>
          <w:p>
            <w:pPr>
              <w:pStyle w:val="null3"/>
              <w:spacing w:after="165"/>
              <w:ind w:firstLine="420"/>
              <w:jc w:val="both"/>
            </w:pPr>
            <w:r>
              <w:rPr>
                <w:rFonts w:ascii="仿宋_GB2312" w:hAnsi="仿宋_GB2312" w:cs="仿宋_GB2312" w:eastAsia="仿宋_GB2312"/>
                <w:sz w:val="21"/>
                <w:color w:val="000000"/>
              </w:rPr>
              <w:t>交互设计：有清楚的错误提示，误操作后，系统提供有针对性的提示；给不同层次的用户提供多种可能性，让用户控制界面，如</w:t>
            </w:r>
            <w:r>
              <w:rPr>
                <w:rFonts w:ascii="仿宋_GB2312" w:hAnsi="仿宋_GB2312" w:cs="仿宋_GB2312" w:eastAsia="仿宋_GB2312"/>
                <w:sz w:val="21"/>
                <w:color w:val="000000"/>
              </w:rPr>
              <w:t>“下一步” 、“完成”、“执行”等标签按钮；允许兼用鼠标和键盘，同一种功能，同时可以用鼠标和键盘，提供多种可能性；允许工作中断；使用用户语言，而非技术语言；提供快速反馈，避免用户焦急；方便退出；导航功能，易从一个功能跳到另外一个功能；菜单深度一般要求最多控制在三层以内。</w:t>
            </w:r>
          </w:p>
          <w:p>
            <w:pPr>
              <w:pStyle w:val="null3"/>
              <w:spacing w:after="165"/>
              <w:ind w:firstLine="420"/>
              <w:jc w:val="both"/>
            </w:pPr>
            <w:r>
              <w:rPr>
                <w:rFonts w:ascii="仿宋_GB2312" w:hAnsi="仿宋_GB2312" w:cs="仿宋_GB2312" w:eastAsia="仿宋_GB2312"/>
                <w:sz w:val="21"/>
                <w:color w:val="000000"/>
              </w:rPr>
              <w:t>视觉设计：界面清晰、布局直观。</w:t>
            </w:r>
          </w:p>
          <w:p>
            <w:pPr>
              <w:pStyle w:val="null3"/>
              <w:ind w:firstLine="420"/>
              <w:jc w:val="both"/>
            </w:pPr>
            <w:r>
              <w:rPr>
                <w:rFonts w:ascii="仿宋_GB2312" w:hAnsi="仿宋_GB2312" w:cs="仿宋_GB2312" w:eastAsia="仿宋_GB2312"/>
                <w:sz w:val="21"/>
                <w:b/>
                <w:color w:val="000000"/>
              </w:rPr>
              <w:t>5.数据规范要求</w:t>
            </w:r>
          </w:p>
          <w:p>
            <w:pPr>
              <w:pStyle w:val="null3"/>
              <w:ind w:firstLine="420"/>
              <w:jc w:val="both"/>
            </w:pPr>
            <w:r>
              <w:rPr>
                <w:rFonts w:ascii="仿宋_GB2312" w:hAnsi="仿宋_GB2312" w:cs="仿宋_GB2312" w:eastAsia="仿宋_GB2312"/>
                <w:sz w:val="21"/>
                <w:color w:val="000000"/>
              </w:rPr>
              <w:t>要求对数据进行规范管理，清晰、准确、标准化描述，定义数据的内容、格式和结构等属性，以保证数据质量与可持续性。</w:t>
            </w:r>
          </w:p>
          <w:p>
            <w:pPr>
              <w:pStyle w:val="null3"/>
              <w:ind w:firstLine="420"/>
              <w:jc w:val="both"/>
            </w:pPr>
            <w:r>
              <w:rPr>
                <w:rFonts w:ascii="仿宋_GB2312" w:hAnsi="仿宋_GB2312" w:cs="仿宋_GB2312" w:eastAsia="仿宋_GB2312"/>
                <w:sz w:val="21"/>
                <w:b/>
                <w:color w:val="000000"/>
              </w:rPr>
              <w:t>6.功能要求</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1）数据库建设</w:t>
            </w:r>
          </w:p>
          <w:p>
            <w:pPr>
              <w:pStyle w:val="null3"/>
              <w:spacing w:after="165"/>
              <w:ind w:firstLine="420"/>
              <w:jc w:val="both"/>
            </w:pPr>
            <w:r>
              <w:rPr>
                <w:rFonts w:ascii="仿宋_GB2312" w:hAnsi="仿宋_GB2312" w:cs="仿宋_GB2312" w:eastAsia="仿宋_GB2312"/>
                <w:sz w:val="21"/>
                <w:color w:val="000000"/>
              </w:rPr>
              <w:t>数据库建设要求采用国产化数据库软件，数据库建设包括：</w:t>
            </w:r>
          </w:p>
          <w:p>
            <w:pPr>
              <w:pStyle w:val="null3"/>
              <w:spacing w:after="165"/>
              <w:ind w:firstLine="420"/>
              <w:jc w:val="both"/>
            </w:pPr>
            <w:r>
              <w:rPr>
                <w:rFonts w:ascii="仿宋_GB2312" w:hAnsi="仿宋_GB2312" w:cs="仿宋_GB2312" w:eastAsia="仿宋_GB2312"/>
                <w:sz w:val="21"/>
                <w:color w:val="000000"/>
              </w:rPr>
              <w:t>①原始数据库，存储监测井信息、监测设备信息、通信设备信息、报警记录信息、远程指令信息、监测井图片、数据导入模板、化工园区信息、园区企业信息以及系统中使用的一些基本参数如地下水类型、管理方式、监测数据类型等信息。</w:t>
            </w:r>
          </w:p>
          <w:p>
            <w:pPr>
              <w:pStyle w:val="null3"/>
              <w:spacing w:after="165"/>
              <w:ind w:firstLine="420"/>
              <w:jc w:val="both"/>
            </w:pPr>
            <w:r>
              <w:rPr>
                <w:rFonts w:ascii="仿宋_GB2312" w:hAnsi="仿宋_GB2312" w:cs="仿宋_GB2312" w:eastAsia="仿宋_GB2312"/>
                <w:sz w:val="21"/>
                <w:color w:val="000000"/>
              </w:rPr>
              <w:t>②监测数据库，对化工园区野外的原始报文解析后的监测数据进行管理，通过设备接收、人工导入的方式对水位和水质数据进行整编、校核，为系统平台提供数据支撑；对监测人员在野外进行的设备维护、设备维修、故障上报、水位校测、水样采集等内容进行存储。</w:t>
            </w:r>
          </w:p>
          <w:p>
            <w:pPr>
              <w:pStyle w:val="null3"/>
              <w:ind w:firstLine="420"/>
              <w:jc w:val="both"/>
            </w:pPr>
            <w:r>
              <w:rPr>
                <w:rFonts w:ascii="仿宋_GB2312" w:hAnsi="仿宋_GB2312" w:cs="仿宋_GB2312" w:eastAsia="仿宋_GB2312"/>
                <w:sz w:val="21"/>
                <w:color w:val="000000"/>
              </w:rPr>
              <w:t>③成果数据库，主要包括整编后的化工园区地下水位动态监测数据、水温数据、水质数据、监测特征因子，以及要求生成的图表信息及曲线图信息（各类统计图、专题图、分析评价表等）。</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2）应用服务系统建设</w:t>
            </w:r>
          </w:p>
          <w:p>
            <w:pPr>
              <w:pStyle w:val="null3"/>
              <w:spacing w:after="165"/>
              <w:ind w:firstLine="420"/>
              <w:jc w:val="both"/>
            </w:pPr>
            <w:r>
              <w:rPr>
                <w:rFonts w:ascii="仿宋_GB2312" w:hAnsi="仿宋_GB2312" w:cs="仿宋_GB2312" w:eastAsia="仿宋_GB2312"/>
                <w:sz w:val="21"/>
                <w:color w:val="000000"/>
              </w:rPr>
              <w:t>应用服务系统建设要求采用国产化操作系统，主要的功能包括：</w:t>
            </w:r>
          </w:p>
          <w:p>
            <w:pPr>
              <w:pStyle w:val="null3"/>
              <w:spacing w:after="165"/>
              <w:ind w:firstLine="420"/>
              <w:jc w:val="both"/>
            </w:pPr>
            <w:r>
              <w:rPr>
                <w:rFonts w:ascii="仿宋_GB2312" w:hAnsi="仿宋_GB2312" w:cs="仿宋_GB2312" w:eastAsia="仿宋_GB2312"/>
                <w:sz w:val="21"/>
                <w:color w:val="000000"/>
              </w:rPr>
              <w:t>①数据接收与设备管理</w:t>
            </w:r>
          </w:p>
          <w:p>
            <w:pPr>
              <w:pStyle w:val="null3"/>
              <w:spacing w:after="165"/>
              <w:ind w:firstLine="420"/>
              <w:jc w:val="both"/>
            </w:pPr>
            <w:r>
              <w:rPr>
                <w:rFonts w:ascii="仿宋_GB2312" w:hAnsi="仿宋_GB2312" w:cs="仿宋_GB2312" w:eastAsia="仿宋_GB2312"/>
                <w:sz w:val="21"/>
                <w:color w:val="000000"/>
              </w:rPr>
              <w:t>a.具有化工园区自动监测数据的接收功能；</w:t>
            </w:r>
          </w:p>
          <w:p>
            <w:pPr>
              <w:pStyle w:val="null3"/>
              <w:spacing w:after="165"/>
              <w:ind w:firstLine="420"/>
              <w:jc w:val="both"/>
            </w:pPr>
            <w:r>
              <w:rPr>
                <w:rFonts w:ascii="仿宋_GB2312" w:hAnsi="仿宋_GB2312" w:cs="仿宋_GB2312" w:eastAsia="仿宋_GB2312"/>
                <w:sz w:val="21"/>
                <w:color w:val="000000"/>
              </w:rPr>
              <w:t>b.具有自动采集设备类型与传输方式开发编写接收与解析功能；</w:t>
            </w:r>
          </w:p>
          <w:p>
            <w:pPr>
              <w:pStyle w:val="null3"/>
              <w:spacing w:after="165"/>
              <w:ind w:firstLine="420"/>
              <w:jc w:val="both"/>
            </w:pPr>
            <w:r>
              <w:rPr>
                <w:rFonts w:ascii="仿宋_GB2312" w:hAnsi="仿宋_GB2312" w:cs="仿宋_GB2312" w:eastAsia="仿宋_GB2312"/>
                <w:sz w:val="21"/>
                <w:color w:val="000000"/>
              </w:rPr>
              <w:t>c.具有管理地下水相关的井、通信设备、监测设备、数据接收情况等信息功能。</w:t>
            </w:r>
          </w:p>
          <w:p>
            <w:pPr>
              <w:pStyle w:val="null3"/>
              <w:spacing w:after="165"/>
              <w:ind w:firstLine="420"/>
              <w:jc w:val="both"/>
            </w:pPr>
            <w:r>
              <w:rPr>
                <w:rFonts w:ascii="仿宋_GB2312" w:hAnsi="仿宋_GB2312" w:cs="仿宋_GB2312" w:eastAsia="仿宋_GB2312"/>
                <w:sz w:val="21"/>
                <w:color w:val="000000"/>
              </w:rPr>
              <w:t>②基础数据管理</w:t>
            </w:r>
          </w:p>
          <w:p>
            <w:pPr>
              <w:pStyle w:val="null3"/>
              <w:spacing w:after="165"/>
              <w:ind w:firstLine="420"/>
              <w:jc w:val="both"/>
            </w:pPr>
            <w:r>
              <w:rPr>
                <w:rFonts w:ascii="仿宋_GB2312" w:hAnsi="仿宋_GB2312" w:cs="仿宋_GB2312" w:eastAsia="仿宋_GB2312"/>
                <w:sz w:val="21"/>
                <w:color w:val="000000"/>
              </w:rPr>
              <w:t>a.园区信息管理：</w:t>
            </w:r>
          </w:p>
          <w:p>
            <w:pPr>
              <w:pStyle w:val="null3"/>
              <w:spacing w:after="165"/>
              <w:ind w:firstLine="420"/>
              <w:jc w:val="both"/>
            </w:pPr>
            <w:r>
              <w:rPr>
                <w:rFonts w:ascii="仿宋_GB2312" w:hAnsi="仿宋_GB2312" w:cs="仿宋_GB2312" w:eastAsia="仿宋_GB2312"/>
                <w:sz w:val="21"/>
                <w:color w:val="000000"/>
              </w:rPr>
              <w:t>对园区和企业信息进行集中管理。</w:t>
            </w:r>
          </w:p>
          <w:p>
            <w:pPr>
              <w:pStyle w:val="null3"/>
              <w:spacing w:after="165"/>
              <w:ind w:firstLine="420"/>
              <w:jc w:val="both"/>
            </w:pPr>
            <w:r>
              <w:rPr>
                <w:rFonts w:ascii="仿宋_GB2312" w:hAnsi="仿宋_GB2312" w:cs="仿宋_GB2312" w:eastAsia="仿宋_GB2312"/>
                <w:sz w:val="21"/>
                <w:color w:val="000000"/>
              </w:rPr>
              <w:t>b.地理信息管理：对园区、企业、监测点等的地理位置进行管理，具备对地下水流向、污染扩散范围等的空间分析功能，并能根据新数据或建设项目更新地理信息。</w:t>
            </w:r>
          </w:p>
          <w:p>
            <w:pPr>
              <w:pStyle w:val="null3"/>
              <w:spacing w:after="165"/>
              <w:ind w:firstLine="420"/>
              <w:jc w:val="both"/>
            </w:pPr>
            <w:r>
              <w:rPr>
                <w:rFonts w:ascii="仿宋_GB2312" w:hAnsi="仿宋_GB2312" w:cs="仿宋_GB2312" w:eastAsia="仿宋_GB2312"/>
                <w:sz w:val="21"/>
                <w:color w:val="000000"/>
              </w:rPr>
              <w:t>c.监测数据管理模块</w:t>
            </w:r>
          </w:p>
          <w:p>
            <w:pPr>
              <w:pStyle w:val="null3"/>
              <w:spacing w:after="165"/>
              <w:ind w:firstLine="420"/>
              <w:jc w:val="both"/>
            </w:pPr>
            <w:r>
              <w:rPr>
                <w:rFonts w:ascii="仿宋_GB2312" w:hAnsi="仿宋_GB2312" w:cs="仿宋_GB2312" w:eastAsia="仿宋_GB2312"/>
                <w:sz w:val="21"/>
                <w:color w:val="000000"/>
              </w:rPr>
              <w:t>设有专门的界面用于数据录入，并对自动化监测数据和人工采样分析数据进行校验以确保其准确性。</w:t>
            </w:r>
          </w:p>
          <w:p>
            <w:pPr>
              <w:pStyle w:val="null3"/>
              <w:spacing w:after="165"/>
              <w:ind w:firstLine="420"/>
              <w:jc w:val="both"/>
            </w:pPr>
            <w:r>
              <w:rPr>
                <w:rFonts w:ascii="仿宋_GB2312" w:hAnsi="仿宋_GB2312" w:cs="仿宋_GB2312" w:eastAsia="仿宋_GB2312"/>
                <w:sz w:val="21"/>
                <w:color w:val="000000"/>
              </w:rPr>
              <w:t>d.</w:t>
            </w:r>
            <w:r>
              <w:rPr>
                <w:rFonts w:ascii="仿宋_GB2312" w:hAnsi="仿宋_GB2312" w:cs="仿宋_GB2312" w:eastAsia="仿宋_GB2312"/>
                <w:sz w:val="21"/>
                <w:color w:val="000000"/>
              </w:rPr>
              <w:t>文档资料</w:t>
            </w:r>
            <w:r>
              <w:rPr>
                <w:rFonts w:ascii="仿宋_GB2312" w:hAnsi="仿宋_GB2312" w:cs="仿宋_GB2312" w:eastAsia="仿宋_GB2312"/>
                <w:sz w:val="21"/>
                <w:color w:val="000000"/>
              </w:rPr>
              <w:t>管理模块</w:t>
            </w:r>
          </w:p>
          <w:p>
            <w:pPr>
              <w:pStyle w:val="null3"/>
              <w:ind w:firstLine="420"/>
              <w:jc w:val="both"/>
            </w:pPr>
            <w:r>
              <w:rPr>
                <w:rFonts w:ascii="仿宋_GB2312" w:hAnsi="仿宋_GB2312" w:cs="仿宋_GB2312" w:eastAsia="仿宋_GB2312"/>
                <w:sz w:val="21"/>
                <w:color w:val="000000"/>
              </w:rPr>
              <w:t>主要用于存储与地下水监测相关的所有文档，可实现文档检索功能。</w:t>
            </w:r>
          </w:p>
          <w:p>
            <w:pPr>
              <w:pStyle w:val="null3"/>
              <w:spacing w:after="165"/>
              <w:ind w:firstLine="420"/>
              <w:jc w:val="both"/>
            </w:pPr>
            <w:r>
              <w:rPr>
                <w:rFonts w:ascii="仿宋_GB2312" w:hAnsi="仿宋_GB2312" w:cs="仿宋_GB2312" w:eastAsia="仿宋_GB2312"/>
                <w:sz w:val="21"/>
                <w:color w:val="000000"/>
              </w:rPr>
              <w:t>③综合分析</w:t>
            </w:r>
          </w:p>
          <w:p>
            <w:pPr>
              <w:pStyle w:val="null3"/>
              <w:spacing w:after="165"/>
              <w:ind w:firstLine="420"/>
              <w:jc w:val="both"/>
            </w:pPr>
            <w:r>
              <w:rPr>
                <w:rFonts w:ascii="仿宋_GB2312" w:hAnsi="仿宋_GB2312" w:cs="仿宋_GB2312" w:eastAsia="仿宋_GB2312"/>
                <w:sz w:val="21"/>
                <w:color w:val="000000"/>
              </w:rPr>
              <w:t>在地下水监测基础支撑平台的支持下，基于科学计算，提供数据分析工具以及服务。包括：</w:t>
            </w:r>
          </w:p>
          <w:p>
            <w:pPr>
              <w:pStyle w:val="null3"/>
              <w:spacing w:after="165"/>
              <w:ind w:firstLine="420"/>
              <w:jc w:val="both"/>
            </w:pPr>
            <w:r>
              <w:rPr>
                <w:rFonts w:ascii="仿宋_GB2312" w:hAnsi="仿宋_GB2312" w:cs="仿宋_GB2312" w:eastAsia="仿宋_GB2312"/>
                <w:sz w:val="21"/>
                <w:color w:val="000000"/>
              </w:rPr>
              <w:t>a.地下水污染评价模块</w:t>
            </w:r>
          </w:p>
          <w:p>
            <w:pPr>
              <w:pStyle w:val="null3"/>
              <w:spacing w:after="165"/>
              <w:ind w:firstLine="420"/>
              <w:jc w:val="both"/>
            </w:pPr>
            <w:r>
              <w:rPr>
                <w:rFonts w:ascii="仿宋_GB2312" w:hAnsi="仿宋_GB2312" w:cs="仿宋_GB2312" w:eastAsia="仿宋_GB2312"/>
                <w:sz w:val="21"/>
                <w:color w:val="000000"/>
              </w:rPr>
              <w:t>开展地下水污染分布与水土介质迁移规律解析，以地下监测数据库为数据驱动，开发地下水污染评价功能。</w:t>
            </w:r>
          </w:p>
          <w:p>
            <w:pPr>
              <w:pStyle w:val="null3"/>
              <w:spacing w:after="165"/>
              <w:ind w:firstLine="420"/>
              <w:jc w:val="both"/>
            </w:pPr>
            <w:r>
              <w:rPr>
                <w:rFonts w:ascii="仿宋_GB2312" w:hAnsi="仿宋_GB2312" w:cs="仿宋_GB2312" w:eastAsia="仿宋_GB2312"/>
                <w:sz w:val="21"/>
                <w:color w:val="000000"/>
              </w:rPr>
              <w:t>b.地下水污染预警模块</w:t>
            </w:r>
          </w:p>
          <w:p>
            <w:pPr>
              <w:pStyle w:val="null3"/>
              <w:spacing w:after="165"/>
              <w:ind w:firstLine="420"/>
              <w:jc w:val="both"/>
            </w:pPr>
            <w:r>
              <w:rPr>
                <w:rFonts w:ascii="仿宋_GB2312" w:hAnsi="仿宋_GB2312" w:cs="仿宋_GB2312" w:eastAsia="仿宋_GB2312"/>
                <w:sz w:val="21"/>
                <w:color w:val="000000"/>
              </w:rPr>
              <w:t>开发污染趋势预测、预警评估功能。</w:t>
            </w:r>
          </w:p>
          <w:p>
            <w:pPr>
              <w:pStyle w:val="null3"/>
              <w:spacing w:after="165"/>
              <w:ind w:firstLine="420"/>
              <w:jc w:val="both"/>
            </w:pPr>
            <w:r>
              <w:rPr>
                <w:rFonts w:ascii="仿宋_GB2312" w:hAnsi="仿宋_GB2312" w:cs="仿宋_GB2312" w:eastAsia="仿宋_GB2312"/>
                <w:sz w:val="21"/>
                <w:color w:val="000000"/>
              </w:rPr>
              <w:t>c.地下水污染溯源</w:t>
            </w:r>
          </w:p>
          <w:p>
            <w:pPr>
              <w:pStyle w:val="null3"/>
              <w:spacing w:after="165"/>
              <w:ind w:firstLine="420"/>
              <w:jc w:val="both"/>
            </w:pPr>
            <w:r>
              <w:rPr>
                <w:rFonts w:ascii="仿宋_GB2312" w:hAnsi="仿宋_GB2312" w:cs="仿宋_GB2312" w:eastAsia="仿宋_GB2312"/>
                <w:sz w:val="21"/>
                <w:color w:val="000000"/>
              </w:rPr>
              <w:t>开展地下水同位素溯源解析，基于溯源模拟软件和模型，开发重点污染源地下水污染溯源功能。</w:t>
            </w:r>
          </w:p>
          <w:p>
            <w:pPr>
              <w:pStyle w:val="null3"/>
              <w:spacing w:after="165"/>
              <w:ind w:firstLine="420"/>
              <w:jc w:val="both"/>
            </w:pPr>
            <w:r>
              <w:rPr>
                <w:rFonts w:ascii="仿宋_GB2312" w:hAnsi="仿宋_GB2312" w:cs="仿宋_GB2312" w:eastAsia="仿宋_GB2312"/>
                <w:sz w:val="21"/>
                <w:color w:val="000000"/>
              </w:rPr>
              <w:t>d.三维展示模块</w:t>
            </w:r>
          </w:p>
          <w:p>
            <w:pPr>
              <w:pStyle w:val="null3"/>
              <w:spacing w:after="165"/>
              <w:ind w:firstLine="420"/>
              <w:jc w:val="both"/>
            </w:pPr>
            <w:r>
              <w:rPr>
                <w:rFonts w:ascii="仿宋_GB2312" w:hAnsi="仿宋_GB2312" w:cs="仿宋_GB2312" w:eastAsia="仿宋_GB2312"/>
                <w:sz w:val="21"/>
                <w:color w:val="000000"/>
              </w:rPr>
              <w:t>实现三维可视化功能。</w:t>
            </w:r>
          </w:p>
          <w:p>
            <w:pPr>
              <w:pStyle w:val="null3"/>
              <w:spacing w:after="165"/>
              <w:ind w:firstLine="420"/>
              <w:jc w:val="both"/>
            </w:pPr>
            <w:r>
              <w:rPr>
                <w:rFonts w:ascii="仿宋_GB2312" w:hAnsi="仿宋_GB2312" w:cs="仿宋_GB2312" w:eastAsia="仿宋_GB2312"/>
                <w:sz w:val="21"/>
                <w:color w:val="000000"/>
              </w:rPr>
              <w:t>④展示与决策支持</w:t>
            </w:r>
          </w:p>
          <w:p>
            <w:pPr>
              <w:pStyle w:val="null3"/>
              <w:spacing w:after="165"/>
              <w:ind w:firstLine="420"/>
              <w:jc w:val="both"/>
            </w:pPr>
            <w:r>
              <w:rPr>
                <w:rFonts w:ascii="仿宋_GB2312" w:hAnsi="仿宋_GB2312" w:cs="仿宋_GB2312" w:eastAsia="仿宋_GB2312"/>
                <w:sz w:val="21"/>
                <w:color w:val="000000"/>
              </w:rPr>
              <w:t>a.动态趋势展示模块</w:t>
            </w:r>
          </w:p>
          <w:p>
            <w:pPr>
              <w:pStyle w:val="null3"/>
              <w:spacing w:after="165"/>
              <w:ind w:firstLine="420"/>
              <w:jc w:val="both"/>
            </w:pPr>
            <w:r>
              <w:rPr>
                <w:rFonts w:ascii="仿宋_GB2312" w:hAnsi="仿宋_GB2312" w:cs="仿宋_GB2312" w:eastAsia="仿宋_GB2312"/>
                <w:sz w:val="21"/>
                <w:color w:val="000000"/>
              </w:rPr>
              <w:t>该模块通过化工园区内地下水状况的历史和实时数据模型与变化图，显示水位、水质和其他相关指标的变化趋势。</w:t>
            </w:r>
          </w:p>
          <w:p>
            <w:pPr>
              <w:pStyle w:val="null3"/>
              <w:spacing w:after="165"/>
              <w:ind w:firstLine="420"/>
              <w:jc w:val="both"/>
            </w:pPr>
            <w:r>
              <w:rPr>
                <w:rFonts w:ascii="仿宋_GB2312" w:hAnsi="仿宋_GB2312" w:cs="仿宋_GB2312" w:eastAsia="仿宋_GB2312"/>
                <w:sz w:val="21"/>
                <w:color w:val="000000"/>
              </w:rPr>
              <w:t>b.评价结果展示模块</w:t>
            </w:r>
          </w:p>
          <w:p>
            <w:pPr>
              <w:pStyle w:val="null3"/>
              <w:spacing w:after="165"/>
              <w:ind w:firstLine="420"/>
              <w:jc w:val="both"/>
            </w:pPr>
            <w:r>
              <w:rPr>
                <w:rFonts w:ascii="仿宋_GB2312" w:hAnsi="仿宋_GB2312" w:cs="仿宋_GB2312" w:eastAsia="仿宋_GB2312"/>
                <w:sz w:val="21"/>
                <w:color w:val="000000"/>
              </w:rPr>
              <w:t>根据地下水的监测数据、历史数据和其他相关信息，生成一系列的评估报告和评分。</w:t>
            </w:r>
          </w:p>
          <w:p>
            <w:pPr>
              <w:pStyle w:val="null3"/>
              <w:spacing w:after="165"/>
              <w:ind w:firstLine="420"/>
              <w:jc w:val="both"/>
            </w:pPr>
            <w:r>
              <w:rPr>
                <w:rFonts w:ascii="仿宋_GB2312" w:hAnsi="仿宋_GB2312" w:cs="仿宋_GB2312" w:eastAsia="仿宋_GB2312"/>
                <w:sz w:val="21"/>
                <w:color w:val="000000"/>
              </w:rPr>
              <w:t>c.预警结果展示模块</w:t>
            </w:r>
          </w:p>
          <w:p>
            <w:pPr>
              <w:pStyle w:val="null3"/>
              <w:spacing w:after="165"/>
              <w:ind w:firstLine="420"/>
              <w:jc w:val="both"/>
            </w:pPr>
            <w:r>
              <w:rPr>
                <w:rFonts w:ascii="仿宋_GB2312" w:hAnsi="仿宋_GB2312" w:cs="仿宋_GB2312" w:eastAsia="仿宋_GB2312"/>
                <w:sz w:val="21"/>
                <w:color w:val="000000"/>
              </w:rPr>
              <w:t>通过实时监测地下水的各种指标，一旦发现异常或达到预设的警戒值，系统即发出预警。</w:t>
            </w:r>
          </w:p>
          <w:p>
            <w:pPr>
              <w:pStyle w:val="null3"/>
              <w:spacing w:after="165"/>
              <w:ind w:firstLine="420"/>
              <w:jc w:val="both"/>
            </w:pPr>
            <w:r>
              <w:rPr>
                <w:rFonts w:ascii="仿宋_GB2312" w:hAnsi="仿宋_GB2312" w:cs="仿宋_GB2312" w:eastAsia="仿宋_GB2312"/>
                <w:sz w:val="21"/>
                <w:color w:val="000000"/>
              </w:rPr>
              <w:t>d.溯源结果展示模块</w:t>
            </w:r>
          </w:p>
          <w:p>
            <w:pPr>
              <w:pStyle w:val="null3"/>
              <w:ind w:firstLine="420"/>
              <w:jc w:val="both"/>
            </w:pPr>
            <w:r>
              <w:rPr>
                <w:rFonts w:ascii="仿宋_GB2312" w:hAnsi="仿宋_GB2312" w:cs="仿宋_GB2312" w:eastAsia="仿宋_GB2312"/>
                <w:sz w:val="21"/>
                <w:color w:val="000000"/>
              </w:rPr>
              <w:t>该模块具有高度的交互性，根据时间和不同类型的污染物可进行定制查询。</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3）构建以“平台”为基础的地下水环境监管机制</w:t>
            </w:r>
          </w:p>
          <w:p>
            <w:pPr>
              <w:pStyle w:val="null3"/>
              <w:ind w:firstLine="420"/>
              <w:jc w:val="both"/>
            </w:pPr>
            <w:r>
              <w:rPr>
                <w:rFonts w:ascii="仿宋_GB2312" w:hAnsi="仿宋_GB2312" w:cs="仿宋_GB2312" w:eastAsia="仿宋_GB2312"/>
                <w:sz w:val="21"/>
                <w:color w:val="000000"/>
              </w:rPr>
              <w:t>开展立足</w:t>
            </w:r>
            <w:r>
              <w:rPr>
                <w:rFonts w:ascii="仿宋_GB2312" w:hAnsi="仿宋_GB2312" w:cs="仿宋_GB2312" w:eastAsia="仿宋_GB2312"/>
                <w:sz w:val="21"/>
                <w:color w:val="000000"/>
              </w:rPr>
              <w:t>“十四五”、面向“十五五”生态环境保护规划目标的地下水污染防治协同监管机制研究、地下水日常监测和监控信息快速响应机制研究、地下水环境预警应急机制研究。</w:t>
            </w:r>
          </w:p>
          <w:p>
            <w:pPr>
              <w:pStyle w:val="null3"/>
              <w:ind w:firstLine="420"/>
              <w:jc w:val="both"/>
            </w:pPr>
            <w:r>
              <w:rPr>
                <w:rFonts w:ascii="仿宋_GB2312" w:hAnsi="仿宋_GB2312" w:cs="仿宋_GB2312" w:eastAsia="仿宋_GB2312"/>
                <w:sz w:val="21"/>
                <w:b/>
                <w:color w:val="000000"/>
              </w:rPr>
              <w:t>7.软件参数要求</w:t>
            </w:r>
          </w:p>
          <w:tbl>
            <w:tblPr>
              <w:tblBorders>
                <w:top w:val="none" w:color="000000" w:sz="4"/>
                <w:left w:val="none" w:color="000000" w:sz="4"/>
                <w:bottom w:val="none" w:color="000000" w:sz="4"/>
                <w:right w:val="none" w:color="000000" w:sz="4"/>
                <w:insideH w:val="none"/>
                <w:insideV w:val="none"/>
              </w:tblBorders>
            </w:tblPr>
            <w:tblGrid>
              <w:gridCol w:w="133"/>
              <w:gridCol w:w="255"/>
              <w:gridCol w:w="2207"/>
              <w:gridCol w:w="185"/>
            </w:tblGrid>
            <w:tr>
              <w:tc>
                <w:tcPr>
                  <w:tcW w:type="dxa" w:w="1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序号</w:t>
                  </w:r>
                </w:p>
              </w:tc>
              <w:tc>
                <w:tcPr>
                  <w:tcW w:type="dxa" w:w="2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货物</w:t>
                  </w:r>
                </w:p>
                <w:p>
                  <w:pPr>
                    <w:pStyle w:val="null3"/>
                    <w:jc w:val="center"/>
                  </w:pPr>
                  <w:r>
                    <w:rPr>
                      <w:rFonts w:ascii="仿宋_GB2312" w:hAnsi="仿宋_GB2312" w:cs="仿宋_GB2312" w:eastAsia="仿宋_GB2312"/>
                      <w:sz w:val="21"/>
                      <w:b/>
                      <w:color w:val="000000"/>
                    </w:rPr>
                    <w:t>名称</w:t>
                  </w:r>
                </w:p>
              </w:tc>
              <w:tc>
                <w:tcPr>
                  <w:tcW w:type="dxa" w:w="22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技术参数</w:t>
                  </w:r>
                </w:p>
              </w:tc>
              <w:tc>
                <w:tcPr>
                  <w:tcW w:type="dxa" w:w="1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数量</w:t>
                  </w:r>
                </w:p>
              </w:tc>
            </w:tr>
            <w:tr>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操作</w:t>
                  </w:r>
                  <w:r>
                    <w:rPr>
                      <w:rFonts w:ascii="仿宋_GB2312" w:hAnsi="仿宋_GB2312" w:cs="仿宋_GB2312" w:eastAsia="仿宋_GB2312"/>
                      <w:sz w:val="21"/>
                      <w:color w:val="000000"/>
                    </w:rPr>
                    <w:t>系统</w:t>
                  </w:r>
                </w:p>
              </w:tc>
              <w:tc>
                <w:tcPr>
                  <w:tcW w:type="dxa" w:w="2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pPr>
                  <w:r>
                    <w:rPr>
                      <w:rFonts w:ascii="仿宋_GB2312" w:hAnsi="仿宋_GB2312" w:cs="仿宋_GB2312" w:eastAsia="仿宋_GB2312"/>
                      <w:sz w:val="21"/>
                      <w:color w:val="000000"/>
                    </w:rPr>
                    <w:t>1.支持龙芯、兆芯、飞腾、鲲鹏、海光等主流国产</w:t>
                  </w:r>
                  <w:r>
                    <w:rPr>
                      <w:rFonts w:ascii="仿宋_GB2312" w:hAnsi="仿宋_GB2312" w:cs="仿宋_GB2312" w:eastAsia="仿宋_GB2312"/>
                      <w:sz w:val="21"/>
                      <w:color w:val="000000"/>
                    </w:rPr>
                    <w:t>CPU</w:t>
                  </w:r>
                  <w:r>
                    <w:rPr>
                      <w:rFonts w:ascii="仿宋_GB2312" w:hAnsi="仿宋_GB2312" w:cs="仿宋_GB2312" w:eastAsia="仿宋_GB2312"/>
                      <w:sz w:val="21"/>
                      <w:color w:val="000000"/>
                    </w:rPr>
                    <w:t>；</w:t>
                  </w:r>
                </w:p>
                <w:p>
                  <w:pPr>
                    <w:pStyle w:val="null3"/>
                    <w:ind w:left="120" w:right="150"/>
                  </w:pPr>
                  <w:r>
                    <w:rPr>
                      <w:rFonts w:ascii="仿宋_GB2312" w:hAnsi="仿宋_GB2312" w:cs="仿宋_GB2312" w:eastAsia="仿宋_GB2312"/>
                      <w:sz w:val="21"/>
                      <w:color w:val="000000"/>
                    </w:rPr>
                    <w:t>2.提供安全中心管控工具，提供图形化应用执行控</w:t>
                  </w:r>
                  <w:r>
                    <w:rPr>
                      <w:rFonts w:ascii="仿宋_GB2312" w:hAnsi="仿宋_GB2312" w:cs="仿宋_GB2312" w:eastAsia="仿宋_GB2312"/>
                      <w:sz w:val="21"/>
                      <w:color w:val="000000"/>
                    </w:rPr>
                    <w:t>制工具，</w:t>
                  </w:r>
                  <w:r>
                    <w:rPr>
                      <w:rFonts w:ascii="仿宋_GB2312" w:hAnsi="仿宋_GB2312" w:cs="仿宋_GB2312" w:eastAsia="仿宋_GB2312"/>
                      <w:sz w:val="21"/>
                      <w:color w:val="000000"/>
                    </w:rPr>
                    <w:t>具有检查应用程序完整性、来源等功能；</w:t>
                  </w:r>
                </w:p>
                <w:p>
                  <w:pPr>
                    <w:pStyle w:val="null3"/>
                    <w:ind w:left="120" w:right="90"/>
                  </w:pPr>
                  <w:r>
                    <w:rPr>
                      <w:rFonts w:ascii="仿宋_GB2312" w:hAnsi="仿宋_GB2312" w:cs="仿宋_GB2312" w:eastAsia="仿宋_GB2312"/>
                      <w:sz w:val="21"/>
                      <w:color w:val="000000"/>
                    </w:rPr>
                    <w:t>3.系统提供备份还原工具，支持数据备份、数据还原，</w:t>
                  </w:r>
                  <w:r>
                    <w:rPr>
                      <w:rFonts w:ascii="仿宋_GB2312" w:hAnsi="仿宋_GB2312" w:cs="仿宋_GB2312" w:eastAsia="仿宋_GB2312"/>
                      <w:sz w:val="21"/>
                      <w:color w:val="000000"/>
                    </w:rPr>
                    <w:t>支持系统全量备份、系统增量备份，提供一键还原、一键</w:t>
                  </w:r>
                  <w:r>
                    <w:rPr>
                      <w:rFonts w:ascii="仿宋_GB2312" w:hAnsi="仿宋_GB2312" w:cs="仿宋_GB2312" w:eastAsia="仿宋_GB2312"/>
                      <w:sz w:val="21"/>
                      <w:color w:val="000000"/>
                    </w:rPr>
                    <w:t>Ghost</w:t>
                  </w:r>
                  <w:r>
                    <w:rPr>
                      <w:rFonts w:ascii="仿宋_GB2312" w:hAnsi="仿宋_GB2312" w:cs="仿宋_GB2312" w:eastAsia="仿宋_GB2312"/>
                      <w:sz w:val="21"/>
                      <w:color w:val="000000"/>
                    </w:rPr>
                    <w:t>功能；</w:t>
                  </w:r>
                </w:p>
                <w:p>
                  <w:pPr>
                    <w:pStyle w:val="null3"/>
                    <w:ind w:left="120" w:right="90"/>
                  </w:pPr>
                  <w:r>
                    <w:rPr>
                      <w:rFonts w:ascii="仿宋_GB2312" w:hAnsi="仿宋_GB2312" w:cs="仿宋_GB2312" w:eastAsia="仿宋_GB2312"/>
                      <w:sz w:val="21"/>
                      <w:color w:val="000000"/>
                    </w:rPr>
                    <w:t>4.系统可提供安全增强组件，支持增加三</w:t>
                  </w:r>
                  <w:r>
                    <w:rPr>
                      <w:rFonts w:ascii="仿宋_GB2312" w:hAnsi="仿宋_GB2312" w:cs="仿宋_GB2312" w:eastAsia="仿宋_GB2312"/>
                      <w:sz w:val="21"/>
                      <w:color w:val="000000"/>
                    </w:rPr>
                    <w:t>权分立、白名单控</w:t>
                  </w:r>
                  <w:r>
                    <w:rPr>
                      <w:rFonts w:ascii="仿宋_GB2312" w:hAnsi="仿宋_GB2312" w:cs="仿宋_GB2312" w:eastAsia="仿宋_GB2312"/>
                      <w:sz w:val="21"/>
                      <w:color w:val="000000"/>
                    </w:rPr>
                    <w:t>制等安全功能，可增强至国家认证的安全保护级别，结构化保</w:t>
                  </w:r>
                  <w:r>
                    <w:rPr>
                      <w:rFonts w:ascii="仿宋_GB2312" w:hAnsi="仿宋_GB2312" w:cs="仿宋_GB2312" w:eastAsia="仿宋_GB2312"/>
                      <w:sz w:val="21"/>
                      <w:color w:val="000000"/>
                    </w:rPr>
                    <w:t>护四级；</w:t>
                  </w:r>
                </w:p>
                <w:p>
                  <w:pPr>
                    <w:pStyle w:val="null3"/>
                    <w:ind w:left="120" w:right="90"/>
                  </w:pPr>
                  <w:r>
                    <w:rPr>
                      <w:rFonts w:ascii="仿宋_GB2312" w:hAnsi="仿宋_GB2312" w:cs="仿宋_GB2312" w:eastAsia="仿宋_GB2312"/>
                      <w:sz w:val="21"/>
                      <w:color w:val="000000"/>
                    </w:rPr>
                    <w:t>5.兼容主流整机、外设和桌面生态软件(提供全新用户交互操</w:t>
                  </w:r>
                  <w:r>
                    <w:rPr>
                      <w:rFonts w:ascii="仿宋_GB2312" w:hAnsi="仿宋_GB2312" w:cs="仿宋_GB2312" w:eastAsia="仿宋_GB2312"/>
                      <w:sz w:val="21"/>
                      <w:color w:val="000000"/>
                    </w:rPr>
                    <w:t>作界面和</w:t>
                  </w:r>
                  <w:r>
                    <w:rPr>
                      <w:rFonts w:ascii="仿宋_GB2312" w:hAnsi="仿宋_GB2312" w:cs="仿宋_GB2312" w:eastAsia="仿宋_GB2312"/>
                      <w:sz w:val="21"/>
                      <w:color w:val="000000"/>
                    </w:rPr>
                    <w:t>Kysec安装机制)；</w:t>
                  </w:r>
                </w:p>
                <w:p>
                  <w:pPr>
                    <w:pStyle w:val="null3"/>
                    <w:ind w:left="135" w:right="75"/>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支持虚拟化解决方案，如</w:t>
                  </w:r>
                  <w:r>
                    <w:rPr>
                      <w:rFonts w:ascii="仿宋_GB2312" w:hAnsi="仿宋_GB2312" w:cs="仿宋_GB2312" w:eastAsia="仿宋_GB2312"/>
                      <w:sz w:val="21"/>
                      <w:color w:val="000000"/>
                    </w:rPr>
                    <w:t>Open</w:t>
                  </w:r>
                  <w:r>
                    <w:rPr>
                      <w:rFonts w:ascii="仿宋_GB2312" w:hAnsi="仿宋_GB2312" w:cs="仿宋_GB2312" w:eastAsia="仿宋_GB2312"/>
                    </w:rPr>
                    <w:t xml:space="preserve"> </w:t>
                  </w:r>
                  <w:r>
                    <w:rPr>
                      <w:rFonts w:ascii="仿宋_GB2312" w:hAnsi="仿宋_GB2312" w:cs="仿宋_GB2312" w:eastAsia="仿宋_GB2312"/>
                      <w:sz w:val="21"/>
                      <w:color w:val="000000"/>
                    </w:rPr>
                    <w:t>Stack、KVM、Docker</w:t>
                  </w:r>
                  <w:r>
                    <w:rPr>
                      <w:rFonts w:ascii="仿宋_GB2312" w:hAnsi="仿宋_GB2312" w:cs="仿宋_GB2312" w:eastAsia="仿宋_GB2312"/>
                      <w:sz w:val="21"/>
                      <w:color w:val="000000"/>
                    </w:rPr>
                    <w:t>、</w:t>
                  </w:r>
                  <w:r>
                    <w:rPr>
                      <w:rFonts w:ascii="仿宋_GB2312" w:hAnsi="仿宋_GB2312" w:cs="仿宋_GB2312" w:eastAsia="仿宋_GB2312"/>
                      <w:sz w:val="21"/>
                      <w:color w:val="000000"/>
                    </w:rPr>
                    <w:t>Hyper-V</w:t>
                  </w:r>
                  <w:r>
                    <w:rPr>
                      <w:rFonts w:ascii="仿宋_GB2312" w:hAnsi="仿宋_GB2312" w:cs="仿宋_GB2312" w:eastAsia="仿宋_GB2312"/>
                      <w:sz w:val="21"/>
                      <w:color w:val="000000"/>
                    </w:rPr>
                    <w:t>等；</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套</w:t>
                  </w:r>
                </w:p>
              </w:tc>
            </w:tr>
            <w:tr>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数据</w:t>
                  </w:r>
                  <w:r>
                    <w:rPr>
                      <w:rFonts w:ascii="仿宋_GB2312" w:hAnsi="仿宋_GB2312" w:cs="仿宋_GB2312" w:eastAsia="仿宋_GB2312"/>
                      <w:sz w:val="21"/>
                      <w:color w:val="000000"/>
                    </w:rPr>
                    <w:t>库</w:t>
                  </w:r>
                </w:p>
              </w:tc>
              <w:tc>
                <w:tcPr>
                  <w:tcW w:type="dxa" w:w="2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right="150"/>
                  </w:pPr>
                  <w:r>
                    <w:rPr>
                      <w:rFonts w:ascii="仿宋_GB2312" w:hAnsi="仿宋_GB2312" w:cs="仿宋_GB2312" w:eastAsia="仿宋_GB2312"/>
                      <w:sz w:val="21"/>
                      <w:color w:val="000000"/>
                    </w:rPr>
                    <w:t>7.产品具备在鲲鹏、飞腾、海光等</w:t>
                  </w:r>
                  <w:r>
                    <w:rPr>
                      <w:rFonts w:ascii="仿宋_GB2312" w:hAnsi="仿宋_GB2312" w:cs="仿宋_GB2312" w:eastAsia="仿宋_GB2312"/>
                      <w:sz w:val="21"/>
                      <w:color w:val="000000"/>
                    </w:rPr>
                    <w:t>CPU</w:t>
                  </w:r>
                  <w:r>
                    <w:rPr>
                      <w:rFonts w:ascii="仿宋_GB2312" w:hAnsi="仿宋_GB2312" w:cs="仿宋_GB2312" w:eastAsia="仿宋_GB2312"/>
                      <w:sz w:val="21"/>
                      <w:color w:val="000000"/>
                    </w:rPr>
                    <w:t>技术路线和麒麟、统</w:t>
                  </w:r>
                  <w:r>
                    <w:rPr>
                      <w:rFonts w:ascii="仿宋_GB2312" w:hAnsi="仿宋_GB2312" w:cs="仿宋_GB2312" w:eastAsia="仿宋_GB2312"/>
                      <w:sz w:val="21"/>
                      <w:color w:val="000000"/>
                    </w:rPr>
                    <w:t>信等操作系统下稳定运行的能力，在不少于</w:t>
                  </w:r>
                  <w:r>
                    <w:rPr>
                      <w:rFonts w:ascii="仿宋_GB2312" w:hAnsi="仿宋_GB2312" w:cs="仿宋_GB2312" w:eastAsia="仿宋_GB2312"/>
                      <w:sz w:val="21"/>
                      <w:color w:val="000000"/>
                    </w:rPr>
                    <w:t>100仓数据和100</w:t>
                  </w:r>
                  <w:r>
                    <w:rPr>
                      <w:rFonts w:ascii="仿宋_GB2312" w:hAnsi="仿宋_GB2312" w:cs="仿宋_GB2312" w:eastAsia="仿宋_GB2312"/>
                      <w:sz w:val="21"/>
                      <w:color w:val="000000"/>
                    </w:rPr>
                    <w:t>用户并发场景下，产品在不同数据库环境</w:t>
                  </w:r>
                  <w:r>
                    <w:rPr>
                      <w:rFonts w:ascii="仿宋_GB2312" w:hAnsi="仿宋_GB2312" w:cs="仿宋_GB2312" w:eastAsia="仿宋_GB2312"/>
                      <w:sz w:val="21"/>
                      <w:color w:val="000000"/>
                    </w:rPr>
                    <w:t>7*2</w:t>
                  </w:r>
                  <w:r>
                    <w:rPr>
                      <w:rFonts w:ascii="仿宋_GB2312" w:hAnsi="仿宋_GB2312" w:cs="仿宋_GB2312" w:eastAsia="仿宋_GB2312"/>
                      <w:sz w:val="21"/>
                      <w:color w:val="000000"/>
                    </w:rPr>
                    <w:t>4小时的TPC-C</w:t>
                  </w:r>
                  <w:r>
                    <w:rPr>
                      <w:rFonts w:ascii="仿宋_GB2312" w:hAnsi="仿宋_GB2312" w:cs="仿宋_GB2312" w:eastAsia="仿宋_GB2312"/>
                      <w:sz w:val="21"/>
                      <w:color w:val="000000"/>
                    </w:rPr>
                    <w:t>测试中能够稳定正常运行；</w:t>
                  </w:r>
                </w:p>
                <w:p>
                  <w:pPr>
                    <w:pStyle w:val="null3"/>
                    <w:ind w:left="120"/>
                  </w:pPr>
                  <w:r>
                    <w:rPr>
                      <w:rFonts w:ascii="仿宋_GB2312" w:hAnsi="仿宋_GB2312" w:cs="仿宋_GB2312" w:eastAsia="仿宋_GB2312"/>
                      <w:sz w:val="21"/>
                      <w:color w:val="000000"/>
                    </w:rPr>
                    <w:t>8.产品制造商有知识产权创新能力，且授权专利名称或者专利摘要中要具有“数据库"（中文）或者</w:t>
                  </w:r>
                  <w:r>
                    <w:rPr>
                      <w:rFonts w:ascii="仿宋_GB2312" w:hAnsi="仿宋_GB2312" w:cs="仿宋_GB2312" w:eastAsia="仿宋_GB2312"/>
                      <w:sz w:val="21"/>
                      <w:color w:val="000000"/>
                    </w:rPr>
                    <w:t>database</w:t>
                  </w:r>
                  <w:r>
                    <w:rPr>
                      <w:rFonts w:ascii="仿宋_GB2312" w:hAnsi="仿宋_GB2312" w:cs="仿宋_GB2312" w:eastAsia="仿宋_GB2312"/>
                      <w:sz w:val="21"/>
                      <w:color w:val="000000"/>
                    </w:rPr>
                    <w:t>（英文）关键字字样，不含关键字无效（须提供专利证书列表至少包括专</w:t>
                  </w:r>
                  <w:r>
                    <w:rPr>
                      <w:rFonts w:ascii="仿宋_GB2312" w:hAnsi="仿宋_GB2312" w:cs="仿宋_GB2312" w:eastAsia="仿宋_GB2312"/>
                      <w:sz w:val="21"/>
                      <w:color w:val="000000"/>
                    </w:rPr>
                    <w:t>利名称、摘要简述、授权日、状态等内容并加盖投标人公章）。</w:t>
                  </w:r>
                </w:p>
                <w:p>
                  <w:pPr>
                    <w:pStyle w:val="null3"/>
                    <w:ind w:left="120"/>
                  </w:pPr>
                  <w:r>
                    <w:rPr>
                      <w:rFonts w:ascii="仿宋_GB2312" w:hAnsi="仿宋_GB2312" w:cs="仿宋_GB2312" w:eastAsia="仿宋_GB2312"/>
                      <w:sz w:val="21"/>
                      <w:color w:val="000000"/>
                    </w:rPr>
                    <w:t>9.产品具备高安全性，符合</w:t>
                  </w:r>
                  <w:r>
                    <w:rPr>
                      <w:rFonts w:ascii="仿宋_GB2312" w:hAnsi="仿宋_GB2312" w:cs="仿宋_GB2312" w:eastAsia="仿宋_GB2312"/>
                      <w:sz w:val="21"/>
                      <w:color w:val="000000"/>
                    </w:rPr>
                    <w:t>GB</w:t>
                  </w:r>
                  <w:r>
                    <w:rPr>
                      <w:rFonts w:ascii="仿宋_GB2312" w:hAnsi="仿宋_GB2312" w:cs="仿宋_GB2312" w:eastAsia="仿宋_GB2312"/>
                      <w:sz w:val="21"/>
                      <w:color w:val="000000"/>
                    </w:rPr>
                    <w:t>/T18336的相关规定和</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获得国家网络与信息系统安全产品质量监督检</w:t>
                  </w:r>
                  <w:r>
                    <w:rPr>
                      <w:rFonts w:ascii="仿宋_GB2312" w:hAnsi="仿宋_GB2312" w:cs="仿宋_GB2312" w:eastAsia="仿宋_GB2312"/>
                      <w:sz w:val="21"/>
                      <w:color w:val="000000"/>
                    </w:rPr>
                    <w:t>验中心颁发的</w:t>
                  </w:r>
                </w:p>
                <w:p>
                  <w:pPr>
                    <w:pStyle w:val="null3"/>
                    <w:ind w:left="120" w:right="105"/>
                  </w:pPr>
                  <w:r>
                    <w:rPr>
                      <w:rFonts w:ascii="仿宋_GB2312" w:hAnsi="仿宋_GB2312" w:cs="仿宋_GB2312" w:eastAsia="仿宋_GB2312"/>
                      <w:sz w:val="21"/>
                      <w:color w:val="000000"/>
                    </w:rPr>
                    <w:t>信息技术产品安全分级评估证书且级别为评估保障级</w:t>
                  </w:r>
                  <w:r>
                    <w:rPr>
                      <w:rFonts w:ascii="仿宋_GB2312" w:hAnsi="仿宋_GB2312" w:cs="仿宋_GB2312" w:eastAsia="仿宋_GB2312"/>
                      <w:sz w:val="21"/>
                      <w:color w:val="000000"/>
                    </w:rPr>
                    <w:t>4增强级</w:t>
                  </w:r>
                  <w:r>
                    <w:rPr>
                      <w:rFonts w:ascii="仿宋_GB2312" w:hAnsi="仿宋_GB2312" w:cs="仿宋_GB2312" w:eastAsia="仿宋_GB2312"/>
                      <w:sz w:val="21"/>
                      <w:color w:val="000000"/>
                    </w:rPr>
                    <w:t>外加</w:t>
                  </w:r>
                  <w:r>
                    <w:rPr>
                      <w:rFonts w:ascii="仿宋_GB2312" w:hAnsi="仿宋_GB2312" w:cs="仿宋_GB2312" w:eastAsia="仿宋_GB2312"/>
                      <w:sz w:val="21"/>
                      <w:color w:val="000000"/>
                    </w:rPr>
                    <w:t>ALC</w:t>
                  </w:r>
                  <w:r>
                    <w:rPr>
                      <w:rFonts w:ascii="仿宋_GB2312" w:hAnsi="仿宋_GB2312" w:cs="仿宋_GB2312" w:eastAsia="仿宋_GB2312"/>
                      <w:sz w:val="21"/>
                      <w:color w:val="000000"/>
                    </w:rPr>
                    <w:t>_</w:t>
                  </w:r>
                  <w:r>
                    <w:rPr>
                      <w:rFonts w:ascii="仿宋_GB2312" w:hAnsi="仿宋_GB2312" w:cs="仿宋_GB2312" w:eastAsia="仿宋_GB2312"/>
                      <w:sz w:val="21"/>
                      <w:color w:val="000000"/>
                    </w:rPr>
                    <w:t>FLR</w:t>
                  </w:r>
                  <w:r>
                    <w:rPr>
                      <w:rFonts w:ascii="仿宋_GB2312" w:hAnsi="仿宋_GB2312" w:cs="仿宋_GB2312" w:eastAsia="仿宋_GB2312"/>
                      <w:sz w:val="21"/>
                      <w:color w:val="000000"/>
                    </w:rPr>
                    <w:t>.1（基本的缺陷纠正</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提供证书复印件并加盖</w:t>
                  </w:r>
                  <w:r>
                    <w:rPr>
                      <w:rFonts w:ascii="仿宋_GB2312" w:hAnsi="仿宋_GB2312" w:cs="仿宋_GB2312" w:eastAsia="仿宋_GB2312"/>
                      <w:sz w:val="21"/>
                      <w:color w:val="000000"/>
                    </w:rPr>
                    <w:t>投标人公章</w:t>
                  </w:r>
                  <w:r>
                    <w:rPr>
                      <w:rFonts w:ascii="仿宋_GB2312" w:hAnsi="仿宋_GB2312" w:cs="仿宋_GB2312" w:eastAsia="仿宋_GB2312"/>
                      <w:sz w:val="21"/>
                      <w:color w:val="000000"/>
                    </w:rPr>
                    <w:t>）；</w:t>
                  </w:r>
                </w:p>
                <w:p>
                  <w:pPr>
                    <w:pStyle w:val="null3"/>
                    <w:ind w:left="120" w:right="105"/>
                  </w:pPr>
                  <w:r>
                    <w:rPr>
                      <w:rFonts w:ascii="仿宋_GB2312" w:hAnsi="仿宋_GB2312" w:cs="仿宋_GB2312" w:eastAsia="仿宋_GB2312"/>
                      <w:sz w:val="21"/>
                      <w:color w:val="000000"/>
                    </w:rPr>
                    <w:t>10.单表插入100万数据小于1.3秒，</w:t>
                  </w:r>
                  <w:r>
                    <w:rPr>
                      <w:rFonts w:ascii="仿宋_GB2312" w:hAnsi="仿宋_GB2312" w:cs="仿宋_GB2312" w:eastAsia="仿宋_GB2312"/>
                      <w:sz w:val="21"/>
                      <w:color w:val="000000"/>
                    </w:rPr>
                    <w:t>平均存储性能可达到</w:t>
                  </w:r>
                  <w:r>
                    <w:rPr>
                      <w:rFonts w:ascii="仿宋_GB2312" w:hAnsi="仿宋_GB2312" w:cs="仿宋_GB2312" w:eastAsia="仿宋_GB2312"/>
                      <w:sz w:val="21"/>
                      <w:color w:val="000000"/>
                    </w:rPr>
                    <w:t>80</w:t>
                  </w:r>
                  <w:r>
                    <w:rPr>
                      <w:rFonts w:ascii="仿宋_GB2312" w:hAnsi="仿宋_GB2312" w:cs="仿宋_GB2312" w:eastAsia="仿宋_GB2312"/>
                      <w:sz w:val="21"/>
                      <w:color w:val="000000"/>
                    </w:rPr>
                    <w:t>万条</w:t>
                  </w:r>
                  <w:r>
                    <w:rPr>
                      <w:rFonts w:ascii="仿宋_GB2312" w:hAnsi="仿宋_GB2312" w:cs="仿宋_GB2312" w:eastAsia="仿宋_GB2312"/>
                      <w:sz w:val="21"/>
                      <w:color w:val="000000"/>
                    </w:rPr>
                    <w:t>/秒以上，单库单表导入200万行数据小于3秒</w:t>
                  </w:r>
                  <w:r>
                    <w:rPr>
                      <w:rFonts w:ascii="仿宋_GB2312" w:hAnsi="仿宋_GB2312" w:cs="仿宋_GB2312" w:eastAsia="仿宋_GB2312"/>
                      <w:sz w:val="21"/>
                      <w:color w:val="000000"/>
                    </w:rPr>
                    <w:t>，批量导入性能可达到</w:t>
                  </w:r>
                  <w:r>
                    <w:rPr>
                      <w:rFonts w:ascii="仿宋_GB2312" w:hAnsi="仿宋_GB2312" w:cs="仿宋_GB2312" w:eastAsia="仿宋_GB2312"/>
                      <w:sz w:val="21"/>
                      <w:color w:val="000000"/>
                    </w:rPr>
                    <w:t>70万条/秒以上；1GB以上数据备份完成时间在</w:t>
                  </w:r>
                  <w:r>
                    <w:rPr>
                      <w:rFonts w:ascii="仿宋_GB2312" w:hAnsi="仿宋_GB2312" w:cs="仿宋_GB2312" w:eastAsia="仿宋_GB2312"/>
                      <w:sz w:val="21"/>
                      <w:color w:val="000000"/>
                    </w:rPr>
                    <w:t>7秒以内，恢复完成时间在21秒以内。（须提供国家</w:t>
                  </w:r>
                  <w:r>
                    <w:rPr>
                      <w:rFonts w:ascii="仿宋_GB2312" w:hAnsi="仿宋_GB2312" w:cs="仿宋_GB2312" w:eastAsia="仿宋_GB2312"/>
                      <w:sz w:val="21"/>
                      <w:color w:val="000000"/>
                    </w:rPr>
                    <w:t>认可的第</w:t>
                  </w:r>
                  <w:r>
                    <w:rPr>
                      <w:rFonts w:ascii="仿宋_GB2312" w:hAnsi="仿宋_GB2312" w:cs="仿宋_GB2312" w:eastAsia="仿宋_GB2312"/>
                      <w:sz w:val="21"/>
                      <w:color w:val="000000"/>
                    </w:rPr>
                    <w:t>三方检测机构出具的检测报告</w:t>
                  </w:r>
                  <w:r>
                    <w:rPr>
                      <w:rFonts w:ascii="仿宋_GB2312" w:hAnsi="仿宋_GB2312" w:cs="仿宋_GB2312" w:eastAsia="仿宋_GB2312"/>
                      <w:sz w:val="21"/>
                      <w:color w:val="000000"/>
                    </w:rPr>
                    <w:t>）；</w:t>
                  </w:r>
                </w:p>
                <w:p>
                  <w:pPr>
                    <w:pStyle w:val="null3"/>
                    <w:ind w:left="120" w:right="105"/>
                  </w:pPr>
                  <w:r>
                    <w:rPr>
                      <w:rFonts w:ascii="仿宋_GB2312" w:hAnsi="仿宋_GB2312" w:cs="仿宋_GB2312" w:eastAsia="仿宋_GB2312"/>
                      <w:sz w:val="21"/>
                      <w:color w:val="000000"/>
                    </w:rPr>
                    <w:t>11.支持基于自主研发统一内核的多集群体系架构，在一套数据库产品内核代码上，实现包括共享存储集群、分布式集群、实时同步集群、大规模并行处理集群、读写分离集群、主备集</w:t>
                  </w:r>
                  <w:r>
                    <w:rPr>
                      <w:rFonts w:ascii="仿宋_GB2312" w:hAnsi="仿宋_GB2312" w:cs="仿宋_GB2312" w:eastAsia="仿宋_GB2312"/>
                      <w:sz w:val="21"/>
                      <w:color w:val="000000"/>
                    </w:rPr>
                    <w:t>群；</w:t>
                  </w:r>
                </w:p>
                <w:p>
                  <w:pPr>
                    <w:pStyle w:val="null3"/>
                    <w:ind w:left="120" w:right="105"/>
                  </w:pPr>
                  <w:r>
                    <w:rPr>
                      <w:rFonts w:ascii="仿宋_GB2312" w:hAnsi="仿宋_GB2312" w:cs="仿宋_GB2312" w:eastAsia="仿宋_GB2312"/>
                      <w:sz w:val="21"/>
                      <w:color w:val="000000"/>
                    </w:rPr>
                    <w:t>12.支持基于</w:t>
                  </w:r>
                  <w:r>
                    <w:rPr>
                      <w:rFonts w:ascii="仿宋_GB2312" w:hAnsi="仿宋_GB2312" w:cs="仿宋_GB2312" w:eastAsia="仿宋_GB2312"/>
                      <w:sz w:val="21"/>
                      <w:color w:val="000000"/>
                    </w:rPr>
                    <w:t>SM4等算法的存</w:t>
                  </w:r>
                  <w:r>
                    <w:rPr>
                      <w:rFonts w:ascii="仿宋_GB2312" w:hAnsi="仿宋_GB2312" w:cs="仿宋_GB2312" w:eastAsia="仿宋_GB2312"/>
                      <w:sz w:val="21"/>
                      <w:color w:val="000000"/>
                    </w:rPr>
                    <w:t>储加密，支持数据加密存储，支持</w:t>
                  </w:r>
                  <w:r>
                    <w:rPr>
                      <w:rFonts w:ascii="仿宋_GB2312" w:hAnsi="仿宋_GB2312" w:cs="仿宋_GB2312" w:eastAsia="仿宋_GB2312"/>
                      <w:sz w:val="21"/>
                      <w:color w:val="000000"/>
                    </w:rPr>
                    <w:t>国密算法加密，支持全面加密，数据文件、日</w:t>
                  </w:r>
                  <w:r>
                    <w:rPr>
                      <w:rFonts w:ascii="仿宋_GB2312" w:hAnsi="仿宋_GB2312" w:cs="仿宋_GB2312" w:eastAsia="仿宋_GB2312"/>
                      <w:sz w:val="21"/>
                      <w:color w:val="000000"/>
                    </w:rPr>
                    <w:t>志文件、备份文</w:t>
                  </w:r>
                  <w:r>
                    <w:rPr>
                      <w:rFonts w:ascii="仿宋_GB2312" w:hAnsi="仿宋_GB2312" w:cs="仿宋_GB2312" w:eastAsia="仿宋_GB2312"/>
                      <w:sz w:val="21"/>
                      <w:color w:val="000000"/>
                    </w:rPr>
                    <w:t>件、导入导出文件等均支持透明加密；支持数据库级、表级、列级等不同级别加密，支持不同用户、不同列设置不同密钥。</w:t>
                  </w:r>
                </w:p>
                <w:p>
                  <w:pPr>
                    <w:pStyle w:val="null3"/>
                    <w:ind w:left="120" w:right="105"/>
                  </w:pPr>
                  <w:r>
                    <w:rPr>
                      <w:rFonts w:ascii="仿宋_GB2312" w:hAnsi="仿宋_GB2312" w:cs="仿宋_GB2312" w:eastAsia="仿宋_GB2312"/>
                      <w:sz w:val="21"/>
                      <w:color w:val="000000"/>
                    </w:rPr>
                    <w:t>13.支持查询</w:t>
                  </w:r>
                  <w:r>
                    <w:rPr>
                      <w:rFonts w:ascii="仿宋_GB2312" w:hAnsi="仿宋_GB2312" w:cs="仿宋_GB2312" w:eastAsia="仿宋_GB2312"/>
                      <w:sz w:val="21"/>
                      <w:color w:val="000000"/>
                    </w:rPr>
                    <w:t>SQL</w:t>
                  </w:r>
                  <w:r>
                    <w:rPr>
                      <w:rFonts w:ascii="仿宋_GB2312" w:hAnsi="仿宋_GB2312" w:cs="仿宋_GB2312" w:eastAsia="仿宋_GB2312"/>
                      <w:sz w:val="21"/>
                      <w:color w:val="000000"/>
                    </w:rPr>
                    <w:t>执行计划，包括查看操作符执行的操作、每</w:t>
                  </w:r>
                  <w:r>
                    <w:rPr>
                      <w:rFonts w:ascii="仿宋_GB2312" w:hAnsi="仿宋_GB2312" w:cs="仿宋_GB2312" w:eastAsia="仿宋_GB2312"/>
                      <w:sz w:val="21"/>
                      <w:color w:val="000000"/>
                    </w:rPr>
                    <w:t>个操作符所花费的时间及返回的结果条数、执行节点字节数以</w:t>
                  </w:r>
                  <w:r>
                    <w:rPr>
                      <w:rFonts w:ascii="仿宋_GB2312" w:hAnsi="仿宋_GB2312" w:cs="仿宋_GB2312" w:eastAsia="仿宋_GB2312"/>
                      <w:sz w:val="21"/>
                      <w:color w:val="000000"/>
                    </w:rPr>
                    <w:t>及执行计划操作符耗；</w:t>
                  </w:r>
                </w:p>
                <w:p>
                  <w:pPr>
                    <w:pStyle w:val="null3"/>
                    <w:ind w:left="120" w:right="15"/>
                  </w:pPr>
                  <w:r>
                    <w:rPr>
                      <w:rFonts w:ascii="仿宋_GB2312" w:hAnsi="仿宋_GB2312" w:cs="仿宋_GB2312" w:eastAsia="仿宋_GB2312"/>
                      <w:sz w:val="21"/>
                      <w:color w:val="000000"/>
                    </w:rPr>
                    <w:t>14.提供命令行客户端及基于跨平台风格统一的全图形化客户端工具，包括数据库对象管理、</w:t>
                  </w:r>
                  <w:r>
                    <w:rPr>
                      <w:rFonts w:ascii="仿宋_GB2312" w:hAnsi="仿宋_GB2312" w:cs="仿宋_GB2312" w:eastAsia="仿宋_GB2312"/>
                      <w:sz w:val="21"/>
                      <w:color w:val="000000"/>
                    </w:rPr>
                    <w:t>SQL</w:t>
                  </w:r>
                  <w:r>
                    <w:rPr>
                      <w:rFonts w:ascii="仿宋_GB2312" w:hAnsi="仿宋_GB2312" w:cs="仿宋_GB2312" w:eastAsia="仿宋_GB2312"/>
                      <w:sz w:val="21"/>
                      <w:color w:val="000000"/>
                    </w:rPr>
                    <w:t>开发、数据迁移、性能监视、数据库配置等多种图形化工具，并提供</w:t>
                  </w:r>
                  <w:r>
                    <w:rPr>
                      <w:rFonts w:ascii="仿宋_GB2312" w:hAnsi="仿宋_GB2312" w:cs="仿宋_GB2312" w:eastAsia="仿宋_GB2312"/>
                      <w:sz w:val="21"/>
                      <w:color w:val="000000"/>
                    </w:rPr>
                    <w:t>PL</w:t>
                  </w:r>
                  <w:r>
                    <w:rPr>
                      <w:rFonts w:ascii="仿宋_GB2312" w:hAnsi="仿宋_GB2312" w:cs="仿宋_GB2312" w:eastAsia="仿宋_GB2312"/>
                      <w:sz w:val="21"/>
                      <w:color w:val="000000"/>
                    </w:rPr>
                    <w:t>/</w:t>
                  </w:r>
                  <w:r>
                    <w:rPr>
                      <w:rFonts w:ascii="仿宋_GB2312" w:hAnsi="仿宋_GB2312" w:cs="仿宋_GB2312" w:eastAsia="仿宋_GB2312"/>
                      <w:sz w:val="21"/>
                      <w:color w:val="000000"/>
                    </w:rPr>
                    <w:t>SQL</w:t>
                  </w:r>
                  <w:r>
                    <w:rPr>
                      <w:rFonts w:ascii="仿宋_GB2312" w:hAnsi="仿宋_GB2312" w:cs="仿宋_GB2312" w:eastAsia="仿宋_GB2312"/>
                      <w:sz w:val="21"/>
                      <w:color w:val="000000"/>
                    </w:rPr>
                    <w:t>调试工具。</w:t>
                  </w:r>
                </w:p>
                <w:p>
                  <w:pPr>
                    <w:pStyle w:val="null3"/>
                    <w:ind w:left="120" w:right="15"/>
                  </w:pPr>
                  <w:r>
                    <w:rPr>
                      <w:rFonts w:ascii="仿宋_GB2312" w:hAnsi="仿宋_GB2312" w:cs="仿宋_GB2312" w:eastAsia="仿宋_GB2312"/>
                      <w:sz w:val="21"/>
                      <w:color w:val="000000"/>
                    </w:rPr>
                    <w:t>15.单表支持创建</w:t>
                  </w:r>
                  <w:r>
                    <w:rPr>
                      <w:rFonts w:ascii="仿宋_GB2312" w:hAnsi="仿宋_GB2312" w:cs="仿宋_GB2312" w:eastAsia="仿宋_GB2312"/>
                      <w:sz w:val="21"/>
                      <w:color w:val="000000"/>
                    </w:rPr>
                    <w:t>≥</w:t>
                  </w:r>
                  <w:r>
                    <w:rPr>
                      <w:rFonts w:ascii="仿宋_GB2312" w:hAnsi="仿宋_GB2312" w:cs="仿宋_GB2312" w:eastAsia="仿宋_GB2312"/>
                      <w:sz w:val="21"/>
                      <w:color w:val="000000"/>
                    </w:rPr>
                    <w:t>2048列；支持分区</w:t>
                  </w:r>
                  <w:r>
                    <w:rPr>
                      <w:rFonts w:ascii="仿宋_GB2312" w:hAnsi="仿宋_GB2312" w:cs="仿宋_GB2312" w:eastAsia="仿宋_GB2312"/>
                      <w:sz w:val="21"/>
                      <w:color w:val="000000"/>
                    </w:rPr>
                    <w:t>表，包括范围分区、哈希</w:t>
                  </w:r>
                  <w:r>
                    <w:rPr>
                      <w:rFonts w:ascii="仿宋_GB2312" w:hAnsi="仿宋_GB2312" w:cs="仿宋_GB2312" w:eastAsia="仿宋_GB2312"/>
                      <w:sz w:val="21"/>
                      <w:color w:val="000000"/>
                    </w:rPr>
                    <w:t>分区、列表分区、间隔分区等；支持组合分区，如可以实现列</w:t>
                  </w:r>
                  <w:r>
                    <w:rPr>
                      <w:rFonts w:ascii="仿宋_GB2312" w:hAnsi="仿宋_GB2312" w:cs="仿宋_GB2312" w:eastAsia="仿宋_GB2312"/>
                      <w:sz w:val="21"/>
                      <w:color w:val="000000"/>
                    </w:rPr>
                    <w:t>表、范围组合分区等；支持单表分区数量为</w:t>
                  </w:r>
                  <w:r>
                    <w:rPr>
                      <w:rFonts w:ascii="仿宋_GB2312" w:hAnsi="仿宋_GB2312" w:cs="仿宋_GB2312" w:eastAsia="仿宋_GB2312"/>
                      <w:sz w:val="21"/>
                      <w:color w:val="000000"/>
                    </w:rPr>
                    <w:t>≥</w:t>
                  </w:r>
                  <w:r>
                    <w:rPr>
                      <w:rFonts w:ascii="仿宋_GB2312" w:hAnsi="仿宋_GB2312" w:cs="仿宋_GB2312" w:eastAsia="仿宋_GB2312"/>
                      <w:sz w:val="21"/>
                      <w:color w:val="000000"/>
                    </w:rPr>
                    <w:t>65535个；支持分</w:t>
                  </w:r>
                  <w:r>
                    <w:rPr>
                      <w:rFonts w:ascii="仿宋_GB2312" w:hAnsi="仿宋_GB2312" w:cs="仿宋_GB2312" w:eastAsia="仿宋_GB2312"/>
                      <w:sz w:val="21"/>
                      <w:color w:val="000000"/>
                    </w:rPr>
                    <w:t>区键包含多列，列数最多达到</w:t>
                  </w: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r>
                    <w:rPr>
                      <w:rFonts w:ascii="仿宋_GB2312" w:hAnsi="仿宋_GB2312" w:cs="仿宋_GB2312" w:eastAsia="仿宋_GB2312"/>
                      <w:sz w:val="21"/>
                      <w:color w:val="000000"/>
                    </w:rPr>
                    <w:t>列；支持增加、删除、合并、</w:t>
                  </w:r>
                  <w:r>
                    <w:rPr>
                      <w:rFonts w:ascii="仿宋_GB2312" w:hAnsi="仿宋_GB2312" w:cs="仿宋_GB2312" w:eastAsia="仿宋_GB2312"/>
                      <w:sz w:val="21"/>
                      <w:color w:val="000000"/>
                    </w:rPr>
                    <w:t>拆分、交换、截断、重命名等分区操作；支持分区表迁移（提供国家认可的第三方检测机构出具的检测报告）。</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r>
            <w:tr>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中间</w:t>
                  </w:r>
                  <w:r>
                    <w:rPr>
                      <w:rFonts w:ascii="仿宋_GB2312" w:hAnsi="仿宋_GB2312" w:cs="仿宋_GB2312" w:eastAsia="仿宋_GB2312"/>
                      <w:sz w:val="21"/>
                      <w:color w:val="000000"/>
                    </w:rPr>
                    <w:t>件</w:t>
                  </w:r>
                </w:p>
              </w:tc>
              <w:tc>
                <w:tcPr>
                  <w:tcW w:type="dxa" w:w="2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right="105"/>
                  </w:pPr>
                  <w:r>
                    <w:rPr>
                      <w:rFonts w:ascii="仿宋_GB2312" w:hAnsi="仿宋_GB2312" w:cs="仿宋_GB2312" w:eastAsia="仿宋_GB2312"/>
                      <w:sz w:val="21"/>
                      <w:color w:val="000000"/>
                    </w:rPr>
                    <w:t>16.遵循国家标准，支持Java EE等规范，并通过Java EE7等标准认</w:t>
                  </w:r>
                  <w:r>
                    <w:rPr>
                      <w:rFonts w:ascii="仿宋_GB2312" w:hAnsi="仿宋_GB2312" w:cs="仿宋_GB2312" w:eastAsia="仿宋_GB2312"/>
                      <w:sz w:val="21"/>
                      <w:color w:val="000000"/>
                    </w:rPr>
                    <w:t>证（提供相关证明材料，并加盖投标人公章</w:t>
                  </w:r>
                  <w:r>
                    <w:rPr>
                      <w:rFonts w:ascii="仿宋_GB2312" w:hAnsi="仿宋_GB2312" w:cs="仿宋_GB2312" w:eastAsia="仿宋_GB2312"/>
                      <w:sz w:val="21"/>
                      <w:color w:val="000000"/>
                    </w:rPr>
                    <w:t>）；</w:t>
                  </w:r>
                </w:p>
                <w:p>
                  <w:pPr>
                    <w:pStyle w:val="null3"/>
                    <w:ind w:left="120" w:right="105"/>
                  </w:pPr>
                  <w:r>
                    <w:rPr>
                      <w:rFonts w:ascii="仿宋_GB2312" w:hAnsi="仿宋_GB2312" w:cs="仿宋_GB2312" w:eastAsia="仿宋_GB2312"/>
                      <w:sz w:val="21"/>
                      <w:color w:val="000000"/>
                    </w:rPr>
                    <w:t>17.提供</w:t>
                  </w:r>
                  <w:r>
                    <w:rPr>
                      <w:rFonts w:ascii="仿宋_GB2312" w:hAnsi="仿宋_GB2312" w:cs="仿宋_GB2312" w:eastAsia="仿宋_GB2312"/>
                      <w:sz w:val="21"/>
                      <w:color w:val="000000"/>
                    </w:rPr>
                    <w:t>APM</w:t>
                  </w:r>
                  <w:r>
                    <w:rPr>
                      <w:rFonts w:ascii="仿宋_GB2312" w:hAnsi="仿宋_GB2312" w:cs="仿宋_GB2312" w:eastAsia="仿宋_GB2312"/>
                      <w:sz w:val="21"/>
                      <w:color w:val="000000"/>
                    </w:rPr>
                    <w:t>应用性能管理，可以针对性能问题做代码级定位，提供包括慢请求分析、类方法分析、线程剖析、内存分析等功能（提供产品功能截图，并加盖投标人公章</w:t>
                  </w:r>
                  <w:r>
                    <w:rPr>
                      <w:rFonts w:ascii="仿宋_GB2312" w:hAnsi="仿宋_GB2312" w:cs="仿宋_GB2312" w:eastAsia="仿宋_GB2312"/>
                      <w:sz w:val="21"/>
                      <w:color w:val="000000"/>
                    </w:rPr>
                    <w:t>）；</w:t>
                  </w:r>
                </w:p>
                <w:p>
                  <w:pPr>
                    <w:pStyle w:val="null3"/>
                    <w:ind w:left="120" w:right="105"/>
                  </w:pPr>
                  <w:r>
                    <w:rPr>
                      <w:rFonts w:ascii="仿宋_GB2312" w:hAnsi="仿宋_GB2312" w:cs="仿宋_GB2312" w:eastAsia="仿宋_GB2312"/>
                      <w:sz w:val="21"/>
                      <w:color w:val="000000"/>
                    </w:rPr>
                    <w:t>18.提供类加载冲突检测工具，可以检测出应用部署和运行过程中类加载冲突问题，并显示检测结果报告（提供产品功能截</w:t>
                  </w:r>
                  <w:r>
                    <w:rPr>
                      <w:rFonts w:ascii="仿宋_GB2312" w:hAnsi="仿宋_GB2312" w:cs="仿宋_GB2312" w:eastAsia="仿宋_GB2312"/>
                      <w:sz w:val="21"/>
                      <w:color w:val="000000"/>
                    </w:rPr>
                    <w:t>图，并加盖投标人公章）；</w:t>
                  </w:r>
                </w:p>
                <w:p>
                  <w:pPr>
                    <w:pStyle w:val="null3"/>
                    <w:ind w:left="120" w:right="105"/>
                  </w:pPr>
                  <w:r>
                    <w:rPr>
                      <w:rFonts w:ascii="仿宋_GB2312" w:hAnsi="仿宋_GB2312" w:cs="仿宋_GB2312" w:eastAsia="仿宋_GB2312"/>
                      <w:sz w:val="21"/>
                      <w:color w:val="000000"/>
                    </w:rPr>
                    <w:t>19.产品采用商用密码技术进行加密保护、安</w:t>
                  </w:r>
                  <w:r>
                    <w:rPr>
                      <w:rFonts w:ascii="仿宋_GB2312" w:hAnsi="仿宋_GB2312" w:cs="仿宋_GB2312" w:eastAsia="仿宋_GB2312"/>
                      <w:sz w:val="21"/>
                      <w:color w:val="000000"/>
                    </w:rPr>
                    <w:t>全认证。产品须通过国家密码管理局商用密码检测中心测评（并提供商用密码</w:t>
                  </w:r>
                  <w:r>
                    <w:rPr>
                      <w:rFonts w:ascii="仿宋_GB2312" w:hAnsi="仿宋_GB2312" w:cs="仿宋_GB2312" w:eastAsia="仿宋_GB2312"/>
                      <w:sz w:val="21"/>
                      <w:color w:val="000000"/>
                    </w:rPr>
                    <w:t>产品认证证书）。</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套</w:t>
                  </w:r>
                </w:p>
              </w:tc>
            </w:tr>
          </w:tbl>
          <w:p>
            <w:pPr>
              <w:pStyle w:val="null3"/>
              <w:spacing w:after="165"/>
              <w:ind w:firstLine="420"/>
              <w:jc w:val="both"/>
            </w:pPr>
            <w:r>
              <w:rPr>
                <w:rFonts w:ascii="仿宋_GB2312" w:hAnsi="仿宋_GB2312" w:cs="仿宋_GB2312" w:eastAsia="仿宋_GB2312"/>
                <w:sz w:val="21"/>
                <w:b/>
                <w:color w:val="000000"/>
              </w:rPr>
              <w:t>8.</w:t>
            </w:r>
            <w:r>
              <w:rPr>
                <w:rFonts w:ascii="仿宋_GB2312" w:hAnsi="仿宋_GB2312" w:cs="仿宋_GB2312" w:eastAsia="仿宋_GB2312"/>
                <w:sz w:val="21"/>
                <w:color w:val="000000"/>
              </w:rPr>
              <w:t>人员配置要求</w:t>
            </w:r>
          </w:p>
          <w:p>
            <w:pPr>
              <w:pStyle w:val="null3"/>
              <w:spacing w:after="165"/>
              <w:ind w:firstLine="420"/>
              <w:jc w:val="both"/>
            </w:pPr>
            <w:r>
              <w:rPr>
                <w:rFonts w:ascii="仿宋_GB2312" w:hAnsi="仿宋_GB2312" w:cs="仿宋_GB2312" w:eastAsia="仿宋_GB2312"/>
                <w:sz w:val="21"/>
                <w:color w:val="000000"/>
              </w:rPr>
              <w:t>针对本项目提供明确的项目团队人员，要求人员为投标单位在职人员，具体详见评审细则及标准。</w:t>
            </w:r>
          </w:p>
          <w:p>
            <w:pPr>
              <w:pStyle w:val="null3"/>
              <w:spacing w:after="165"/>
              <w:ind w:firstLine="420"/>
              <w:jc w:val="both"/>
            </w:pPr>
            <w:r>
              <w:rPr>
                <w:rFonts w:ascii="仿宋_GB2312" w:hAnsi="仿宋_GB2312" w:cs="仿宋_GB2312" w:eastAsia="仿宋_GB2312"/>
                <w:sz w:val="21"/>
                <w:color w:val="000000"/>
              </w:rPr>
              <w:t>9.设施设备配置要求</w:t>
            </w:r>
          </w:p>
          <w:p>
            <w:pPr>
              <w:pStyle w:val="null3"/>
              <w:spacing w:after="165"/>
              <w:ind w:firstLine="420"/>
              <w:jc w:val="both"/>
            </w:pPr>
            <w:r>
              <w:rPr>
                <w:rFonts w:ascii="仿宋_GB2312" w:hAnsi="仿宋_GB2312" w:cs="仿宋_GB2312" w:eastAsia="仿宋_GB2312"/>
                <w:sz w:val="21"/>
                <w:color w:val="000000"/>
              </w:rPr>
              <w:t>具有履行合同所必需的设施设备，满足项目需求。</w:t>
            </w:r>
          </w:p>
          <w:p>
            <w:pPr>
              <w:pStyle w:val="null3"/>
              <w:spacing w:after="165"/>
              <w:ind w:firstLine="420"/>
              <w:jc w:val="both"/>
            </w:pPr>
            <w:r>
              <w:rPr>
                <w:rFonts w:ascii="仿宋_GB2312" w:hAnsi="仿宋_GB2312" w:cs="仿宋_GB2312" w:eastAsia="仿宋_GB2312"/>
                <w:sz w:val="21"/>
                <w:color w:val="000000"/>
              </w:rPr>
              <w:t>10.等保要求</w:t>
            </w:r>
          </w:p>
          <w:p>
            <w:pPr>
              <w:pStyle w:val="null3"/>
              <w:spacing w:after="165"/>
              <w:ind w:firstLine="420"/>
              <w:jc w:val="both"/>
            </w:pPr>
            <w:r>
              <w:rPr>
                <w:rFonts w:ascii="仿宋_GB2312" w:hAnsi="仿宋_GB2312" w:cs="仿宋_GB2312" w:eastAsia="仿宋_GB2312"/>
                <w:sz w:val="21"/>
                <w:color w:val="000000"/>
              </w:rPr>
              <w:t>平台建设完成后，供应商委托有资质的第三方测评机构对所建平台进行信息安全等级保护测评，要求满足三级等保测评，所委托的测评机构须经过采购人确认。</w:t>
            </w:r>
          </w:p>
          <w:p>
            <w:pPr>
              <w:pStyle w:val="null3"/>
              <w:spacing w:after="165"/>
              <w:ind w:firstLine="420"/>
              <w:jc w:val="both"/>
            </w:pPr>
            <w:r>
              <w:rPr>
                <w:rFonts w:ascii="仿宋_GB2312" w:hAnsi="仿宋_GB2312" w:cs="仿宋_GB2312" w:eastAsia="仿宋_GB2312"/>
                <w:sz w:val="21"/>
                <w:color w:val="000000"/>
              </w:rPr>
              <w:t>11.服务期限：</w:t>
            </w:r>
            <w:r>
              <w:rPr>
                <w:rFonts w:ascii="仿宋_GB2312" w:hAnsi="仿宋_GB2312" w:cs="仿宋_GB2312" w:eastAsia="仿宋_GB2312"/>
                <w:sz w:val="21"/>
                <w:color w:val="000000"/>
              </w:rPr>
              <w:t>合同签订</w:t>
            </w:r>
            <w:r>
              <w:rPr>
                <w:rFonts w:ascii="仿宋_GB2312" w:hAnsi="仿宋_GB2312" w:cs="仿宋_GB2312" w:eastAsia="仿宋_GB2312"/>
                <w:sz w:val="21"/>
                <w:color w:val="000000"/>
              </w:rPr>
              <w:t>6个月内完成。合同签订后5个月完成平台全部部署工作；试运行期限：部署完成后1个月。运维期限：两年。</w:t>
            </w:r>
          </w:p>
          <w:p>
            <w:pPr>
              <w:pStyle w:val="null3"/>
              <w:spacing w:after="165"/>
              <w:ind w:firstLine="420"/>
              <w:jc w:val="both"/>
            </w:pPr>
            <w:r>
              <w:rPr>
                <w:rFonts w:ascii="仿宋_GB2312" w:hAnsi="仿宋_GB2312" w:cs="仿宋_GB2312" w:eastAsia="仿宋_GB2312"/>
                <w:sz w:val="21"/>
                <w:color w:val="000000"/>
              </w:rPr>
              <w:t>12.服务地点：按采购人要求。</w:t>
            </w:r>
          </w:p>
          <w:p>
            <w:pPr>
              <w:pStyle w:val="null3"/>
              <w:spacing w:after="165"/>
              <w:ind w:firstLine="420"/>
              <w:jc w:val="both"/>
            </w:pPr>
            <w:r>
              <w:rPr>
                <w:rFonts w:ascii="仿宋_GB2312" w:hAnsi="仿宋_GB2312" w:cs="仿宋_GB2312" w:eastAsia="仿宋_GB2312"/>
                <w:sz w:val="21"/>
                <w:color w:val="000000"/>
              </w:rPr>
              <w:t>13.交付要求：按照编制要求和模板开展文档编制工作，技术文档应做到指标清晰合理，项目需求和设计文档必须通过评审。项目文档包括以下内容：</w:t>
            </w:r>
          </w:p>
          <w:p>
            <w:pPr>
              <w:pStyle w:val="null3"/>
              <w:spacing w:after="165"/>
              <w:ind w:firstLine="420"/>
              <w:jc w:val="both"/>
            </w:pPr>
            <w:r>
              <w:rPr>
                <w:rFonts w:ascii="仿宋_GB2312" w:hAnsi="仿宋_GB2312" w:cs="仿宋_GB2312" w:eastAsia="仿宋_GB2312"/>
                <w:sz w:val="21"/>
                <w:color w:val="000000"/>
              </w:rPr>
              <w:t>14.文档成果物要求</w:t>
            </w:r>
          </w:p>
          <w:tbl>
            <w:tblPr>
              <w:tblInd w:type="dxa" w:w="105"/>
              <w:tblBorders>
                <w:top w:val="none" w:color="000000" w:sz="4"/>
                <w:left w:val="none" w:color="000000" w:sz="4"/>
                <w:bottom w:val="none" w:color="000000" w:sz="4"/>
                <w:right w:val="none" w:color="000000" w:sz="4"/>
                <w:insideH w:val="none"/>
                <w:insideV w:val="none"/>
              </w:tblBorders>
            </w:tblPr>
            <w:tblGrid>
              <w:gridCol w:w="1464"/>
              <w:gridCol w:w="1324"/>
            </w:tblGrid>
            <w:tr>
              <w:tc>
                <w:tcPr>
                  <w:tcW w:type="dxa" w:w="14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b/>
                      <w:color w:val="000000"/>
                    </w:rPr>
                    <w:t>交付物名称</w:t>
                  </w:r>
                </w:p>
              </w:tc>
              <w:tc>
                <w:tcPr>
                  <w:tcW w:type="dxa" w:w="13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b/>
                      <w:color w:val="000000"/>
                    </w:rPr>
                    <w:t>介质形式</w:t>
                  </w:r>
                </w:p>
              </w:tc>
            </w:tr>
            <w:tr>
              <w:tc>
                <w:tcPr>
                  <w:tcW w:type="dxa" w:w="1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《需求规格说明书》</w:t>
                  </w:r>
                </w:p>
              </w:tc>
              <w:tc>
                <w:tcPr>
                  <w:tcW w:type="dxa" w:w="1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电子</w:t>
                  </w:r>
                  <w:r>
                    <w:rPr>
                      <w:rFonts w:ascii="仿宋_GB2312" w:hAnsi="仿宋_GB2312" w:cs="仿宋_GB2312" w:eastAsia="仿宋_GB2312"/>
                      <w:sz w:val="21"/>
                      <w:color w:val="000000"/>
                    </w:rPr>
                    <w:t>/纸介质</w:t>
                  </w:r>
                </w:p>
              </w:tc>
            </w:tr>
            <w:tr>
              <w:tc>
                <w:tcPr>
                  <w:tcW w:type="dxa" w:w="1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《系统设计与</w:t>
                  </w:r>
                  <w:r>
                    <w:rPr>
                      <w:rFonts w:ascii="仿宋_GB2312" w:hAnsi="仿宋_GB2312" w:cs="仿宋_GB2312" w:eastAsia="仿宋_GB2312"/>
                      <w:sz w:val="21"/>
                      <w:color w:val="000000"/>
                    </w:rPr>
                    <w:t>运维</w:t>
                  </w:r>
                  <w:r>
                    <w:rPr>
                      <w:rFonts w:ascii="仿宋_GB2312" w:hAnsi="仿宋_GB2312" w:cs="仿宋_GB2312" w:eastAsia="仿宋_GB2312"/>
                      <w:sz w:val="21"/>
                      <w:color w:val="000000"/>
                    </w:rPr>
                    <w:t>方案》</w:t>
                  </w:r>
                </w:p>
              </w:tc>
              <w:tc>
                <w:tcPr>
                  <w:tcW w:type="dxa" w:w="1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电子</w:t>
                  </w:r>
                  <w:r>
                    <w:rPr>
                      <w:rFonts w:ascii="仿宋_GB2312" w:hAnsi="仿宋_GB2312" w:cs="仿宋_GB2312" w:eastAsia="仿宋_GB2312"/>
                      <w:sz w:val="21"/>
                      <w:color w:val="000000"/>
                    </w:rPr>
                    <w:t>/纸介质</w:t>
                  </w:r>
                </w:p>
              </w:tc>
            </w:tr>
            <w:tr>
              <w:tc>
                <w:tcPr>
                  <w:tcW w:type="dxa" w:w="1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《用户使用手册》</w:t>
                  </w:r>
                </w:p>
              </w:tc>
              <w:tc>
                <w:tcPr>
                  <w:tcW w:type="dxa" w:w="1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电子</w:t>
                  </w:r>
                  <w:r>
                    <w:rPr>
                      <w:rFonts w:ascii="仿宋_GB2312" w:hAnsi="仿宋_GB2312" w:cs="仿宋_GB2312" w:eastAsia="仿宋_GB2312"/>
                      <w:sz w:val="21"/>
                      <w:color w:val="000000"/>
                    </w:rPr>
                    <w:t>/纸介质</w:t>
                  </w:r>
                </w:p>
              </w:tc>
            </w:tr>
            <w:tr>
              <w:tc>
                <w:tcPr>
                  <w:tcW w:type="dxa" w:w="1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《系统试运行报告》</w:t>
                  </w:r>
                </w:p>
              </w:tc>
              <w:tc>
                <w:tcPr>
                  <w:tcW w:type="dxa" w:w="1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电子</w:t>
                  </w:r>
                  <w:r>
                    <w:rPr>
                      <w:rFonts w:ascii="仿宋_GB2312" w:hAnsi="仿宋_GB2312" w:cs="仿宋_GB2312" w:eastAsia="仿宋_GB2312"/>
                      <w:sz w:val="21"/>
                      <w:color w:val="000000"/>
                    </w:rPr>
                    <w:t>/纸介质</w:t>
                  </w:r>
                </w:p>
              </w:tc>
            </w:tr>
            <w:tr>
              <w:tc>
                <w:tcPr>
                  <w:tcW w:type="dxa" w:w="1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《地下水同位素溯源解析报告》</w:t>
                  </w:r>
                </w:p>
              </w:tc>
              <w:tc>
                <w:tcPr>
                  <w:tcW w:type="dxa" w:w="1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电子</w:t>
                  </w:r>
                  <w:r>
                    <w:rPr>
                      <w:rFonts w:ascii="仿宋_GB2312" w:hAnsi="仿宋_GB2312" w:cs="仿宋_GB2312" w:eastAsia="仿宋_GB2312"/>
                      <w:sz w:val="21"/>
                      <w:color w:val="000000"/>
                    </w:rPr>
                    <w:t>/纸介质</w:t>
                  </w:r>
                </w:p>
              </w:tc>
            </w:tr>
            <w:tr>
              <w:tc>
                <w:tcPr>
                  <w:tcW w:type="dxa" w:w="1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《地下水污染分布与水土介质迁移规律解析报告》</w:t>
                  </w:r>
                </w:p>
              </w:tc>
              <w:tc>
                <w:tcPr>
                  <w:tcW w:type="dxa" w:w="1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电子</w:t>
                  </w:r>
                  <w:r>
                    <w:rPr>
                      <w:rFonts w:ascii="仿宋_GB2312" w:hAnsi="仿宋_GB2312" w:cs="仿宋_GB2312" w:eastAsia="仿宋_GB2312"/>
                      <w:sz w:val="21"/>
                      <w:color w:val="000000"/>
                    </w:rPr>
                    <w:t>/纸介质</w:t>
                  </w:r>
                </w:p>
              </w:tc>
            </w:tr>
            <w:tr>
              <w:tc>
                <w:tcPr>
                  <w:tcW w:type="dxa" w:w="1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《平台建设实施方案》</w:t>
                  </w:r>
                </w:p>
              </w:tc>
              <w:tc>
                <w:tcPr>
                  <w:tcW w:type="dxa" w:w="1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电子</w:t>
                  </w:r>
                  <w:r>
                    <w:rPr>
                      <w:rFonts w:ascii="仿宋_GB2312" w:hAnsi="仿宋_GB2312" w:cs="仿宋_GB2312" w:eastAsia="仿宋_GB2312"/>
                      <w:sz w:val="21"/>
                      <w:color w:val="000000"/>
                    </w:rPr>
                    <w:t>/纸介质</w:t>
                  </w:r>
                </w:p>
              </w:tc>
            </w:tr>
            <w:tr>
              <w:tc>
                <w:tcPr>
                  <w:tcW w:type="dxa" w:w="1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《平台操作培训方案》</w:t>
                  </w:r>
                </w:p>
              </w:tc>
              <w:tc>
                <w:tcPr>
                  <w:tcW w:type="dxa" w:w="1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电子</w:t>
                  </w:r>
                  <w:r>
                    <w:rPr>
                      <w:rFonts w:ascii="仿宋_GB2312" w:hAnsi="仿宋_GB2312" w:cs="仿宋_GB2312" w:eastAsia="仿宋_GB2312"/>
                      <w:sz w:val="21"/>
                      <w:color w:val="000000"/>
                    </w:rPr>
                    <w:t>/纸介质</w:t>
                  </w:r>
                </w:p>
              </w:tc>
            </w:tr>
          </w:tbl>
          <w:p>
            <w:pPr>
              <w:pStyle w:val="null3"/>
              <w:spacing w:after="165"/>
              <w:ind w:firstLine="420"/>
              <w:jc w:val="both"/>
            </w:pPr>
            <w:r>
              <w:rPr>
                <w:rFonts w:ascii="仿宋_GB2312" w:hAnsi="仿宋_GB2312" w:cs="仿宋_GB2312" w:eastAsia="仿宋_GB2312"/>
                <w:sz w:val="21"/>
                <w:color w:val="000000"/>
              </w:rPr>
              <w:t>15.软件系统成果物要求</w:t>
            </w:r>
          </w:p>
          <w:tbl>
            <w:tblPr>
              <w:tblBorders>
                <w:top w:val="none" w:color="000000" w:sz="4"/>
                <w:left w:val="none" w:color="000000" w:sz="4"/>
                <w:bottom w:val="none" w:color="000000" w:sz="4"/>
                <w:right w:val="none" w:color="000000" w:sz="4"/>
                <w:insideH w:val="none"/>
                <w:insideV w:val="none"/>
              </w:tblBorders>
            </w:tblPr>
            <w:tblGrid>
              <w:gridCol w:w="1464"/>
              <w:gridCol w:w="1324"/>
            </w:tblGrid>
            <w:tr>
              <w:tc>
                <w:tcPr>
                  <w:tcW w:type="dxa" w:w="14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b/>
                      <w:color w:val="000000"/>
                    </w:rPr>
                    <w:t>交付物名称</w:t>
                  </w:r>
                </w:p>
              </w:tc>
              <w:tc>
                <w:tcPr>
                  <w:tcW w:type="dxa" w:w="13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b/>
                      <w:color w:val="000000"/>
                    </w:rPr>
                    <w:t>介质形式</w:t>
                  </w:r>
                </w:p>
              </w:tc>
            </w:tr>
            <w:tr>
              <w:tc>
                <w:tcPr>
                  <w:tcW w:type="dxa" w:w="1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化工园区地下水环境风险管理平台及源代码</w:t>
                  </w:r>
                </w:p>
              </w:tc>
              <w:tc>
                <w:tcPr>
                  <w:tcW w:type="dxa" w:w="1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电子</w:t>
                  </w:r>
                </w:p>
              </w:tc>
            </w:tr>
          </w:tbl>
          <w:p>
            <w:pPr>
              <w:pStyle w:val="null3"/>
              <w:spacing w:after="165"/>
              <w:ind w:firstLine="420"/>
              <w:jc w:val="both"/>
            </w:pPr>
            <w:r>
              <w:rPr>
                <w:rFonts w:ascii="仿宋_GB2312" w:hAnsi="仿宋_GB2312" w:cs="仿宋_GB2312" w:eastAsia="仿宋_GB2312"/>
                <w:sz w:val="21"/>
                <w:b/>
                <w:color w:val="000000"/>
              </w:rPr>
              <w:t>16.</w:t>
            </w:r>
            <w:r>
              <w:rPr>
                <w:rFonts w:ascii="仿宋_GB2312" w:hAnsi="仿宋_GB2312" w:cs="仿宋_GB2312" w:eastAsia="仿宋_GB2312"/>
                <w:sz w:val="21"/>
                <w:color w:val="000000"/>
              </w:rPr>
              <w:t>质保期售后服务要求</w:t>
            </w:r>
          </w:p>
          <w:p>
            <w:pPr>
              <w:pStyle w:val="null3"/>
              <w:spacing w:after="165"/>
              <w:ind w:firstLine="420"/>
              <w:jc w:val="both"/>
            </w:pPr>
            <w:r>
              <w:rPr>
                <w:rFonts w:ascii="仿宋_GB2312" w:hAnsi="仿宋_GB2312" w:cs="仿宋_GB2312" w:eastAsia="仿宋_GB2312"/>
                <w:sz w:val="21"/>
                <w:color w:val="000000"/>
              </w:rPr>
              <w:t>售后服务期要求为两年，自项目验收合格之日起计算。</w:t>
            </w:r>
          </w:p>
          <w:p>
            <w:pPr>
              <w:pStyle w:val="null3"/>
              <w:spacing w:after="165"/>
              <w:ind w:firstLine="420"/>
              <w:jc w:val="both"/>
            </w:pPr>
            <w:r>
              <w:rPr>
                <w:rFonts w:ascii="仿宋_GB2312" w:hAnsi="仿宋_GB2312" w:cs="仿宋_GB2312" w:eastAsia="仿宋_GB2312"/>
                <w:sz w:val="21"/>
                <w:color w:val="000000"/>
              </w:rPr>
              <w:t>供应商应针对数据分析服务、系统使用与运维需要，提供详细的技术支持与售后服务方案以及服务承诺。技术支持与售后服务方案要从技术支持与服务体系、服务保障、服务内容、服务措施、质保期等方面进行详细说明。</w:t>
            </w:r>
          </w:p>
          <w:p>
            <w:pPr>
              <w:pStyle w:val="null3"/>
              <w:spacing w:after="165"/>
              <w:ind w:firstLine="420"/>
              <w:jc w:val="both"/>
            </w:pPr>
            <w:r>
              <w:rPr>
                <w:rFonts w:ascii="仿宋_GB2312" w:hAnsi="仿宋_GB2312" w:cs="仿宋_GB2312" w:eastAsia="仿宋_GB2312"/>
                <w:sz w:val="21"/>
                <w:color w:val="000000"/>
              </w:rPr>
              <w:t>①在质保期内，供应商需承诺提供电话技术支持、现场响应等服务方式，在售后服务期内，供应商应提供7*24热线响应技术服务。质保期内的技术服务包含：数据分析服务、维护服务、优化服务，并提出技术服务期后的维护方案。</w:t>
            </w:r>
          </w:p>
          <w:p>
            <w:pPr>
              <w:pStyle w:val="null3"/>
              <w:spacing w:after="165"/>
              <w:ind w:firstLine="420"/>
              <w:jc w:val="both"/>
            </w:pPr>
            <w:r>
              <w:rPr>
                <w:rFonts w:ascii="仿宋_GB2312" w:hAnsi="仿宋_GB2312" w:cs="仿宋_GB2312" w:eastAsia="仿宋_GB2312"/>
                <w:sz w:val="21"/>
                <w:color w:val="000000"/>
              </w:rPr>
              <w:t>②系统出现故障后，投标方需在5小时作出技术响应，如遇到远程无法解决的故障，项目核心人员需在24小时内到达现场。</w:t>
            </w:r>
          </w:p>
          <w:p>
            <w:pPr>
              <w:pStyle w:val="null3"/>
              <w:spacing w:after="165"/>
              <w:ind w:firstLine="420"/>
              <w:jc w:val="both"/>
            </w:pPr>
            <w:r>
              <w:rPr>
                <w:rFonts w:ascii="仿宋_GB2312" w:hAnsi="仿宋_GB2312" w:cs="仿宋_GB2312" w:eastAsia="仿宋_GB2312"/>
                <w:sz w:val="21"/>
                <w:color w:val="000000"/>
              </w:rPr>
              <w:t>③质保期内供应商提供的所有的售后服务均包含在合同总额内，不得另行收费。</w:t>
            </w:r>
          </w:p>
          <w:p>
            <w:pPr>
              <w:pStyle w:val="null3"/>
              <w:spacing w:after="165"/>
              <w:ind w:firstLine="420"/>
              <w:jc w:val="both"/>
            </w:pPr>
            <w:r>
              <w:rPr>
                <w:rFonts w:ascii="仿宋_GB2312" w:hAnsi="仿宋_GB2312" w:cs="仿宋_GB2312" w:eastAsia="仿宋_GB2312"/>
                <w:sz w:val="21"/>
                <w:color w:val="000000"/>
              </w:rPr>
              <w:t>④质保期内供应商根据项目审计的需要及时配合完成化工园区地下水环境风险管理平台及源代码的审计工作。</w:t>
            </w:r>
          </w:p>
          <w:p>
            <w:pPr>
              <w:pStyle w:val="null3"/>
              <w:spacing w:after="165"/>
              <w:ind w:firstLine="420"/>
              <w:jc w:val="both"/>
            </w:pPr>
            <w:r>
              <w:rPr>
                <w:rFonts w:ascii="仿宋_GB2312" w:hAnsi="仿宋_GB2312" w:cs="仿宋_GB2312" w:eastAsia="仿宋_GB2312"/>
                <w:sz w:val="21"/>
                <w:color w:val="000000"/>
              </w:rPr>
              <w:t>17.质保期外的技术支持</w:t>
            </w:r>
          </w:p>
          <w:p>
            <w:pPr>
              <w:pStyle w:val="null3"/>
              <w:spacing w:after="165"/>
              <w:ind w:firstLine="420"/>
              <w:jc w:val="both"/>
            </w:pPr>
            <w:r>
              <w:rPr>
                <w:rFonts w:ascii="仿宋_GB2312" w:hAnsi="仿宋_GB2312" w:cs="仿宋_GB2312" w:eastAsia="仿宋_GB2312"/>
                <w:sz w:val="21"/>
                <w:color w:val="000000"/>
              </w:rPr>
              <w:t>供应商应列出项目质保期外可提供的运行维护和售后服务的服务内容和工作方案，供采购人参考。如需额外费用，双方协商确定。</w:t>
            </w:r>
          </w:p>
          <w:p>
            <w:pPr>
              <w:pStyle w:val="null3"/>
              <w:spacing w:after="165"/>
              <w:ind w:firstLine="420"/>
              <w:jc w:val="both"/>
            </w:pPr>
            <w:r>
              <w:rPr>
                <w:rFonts w:ascii="仿宋_GB2312" w:hAnsi="仿宋_GB2312" w:cs="仿宋_GB2312" w:eastAsia="仿宋_GB2312"/>
                <w:sz w:val="21"/>
                <w:color w:val="000000"/>
              </w:rPr>
              <w:t>18.项目培训要求</w:t>
            </w:r>
          </w:p>
          <w:p>
            <w:pPr>
              <w:pStyle w:val="null3"/>
              <w:spacing w:after="165"/>
              <w:ind w:firstLine="420"/>
              <w:jc w:val="both"/>
            </w:pPr>
            <w:r>
              <w:rPr>
                <w:rFonts w:ascii="仿宋_GB2312" w:hAnsi="仿宋_GB2312" w:cs="仿宋_GB2312" w:eastAsia="仿宋_GB2312"/>
                <w:sz w:val="21"/>
                <w:color w:val="000000"/>
              </w:rPr>
              <w:t>供应商应针对本次采购项目的管理、维护和使用等提供相应的培训，培训次数不少于</w:t>
            </w:r>
            <w:r>
              <w:rPr>
                <w:rFonts w:ascii="仿宋_GB2312" w:hAnsi="仿宋_GB2312" w:cs="仿宋_GB2312" w:eastAsia="仿宋_GB2312"/>
                <w:sz w:val="21"/>
                <w:color w:val="000000"/>
              </w:rPr>
              <w:t>3次。具体培训要求包括：</w:t>
            </w:r>
          </w:p>
          <w:p>
            <w:pPr>
              <w:pStyle w:val="null3"/>
              <w:spacing w:after="165"/>
              <w:ind w:firstLine="420"/>
              <w:jc w:val="both"/>
            </w:pPr>
            <w:r>
              <w:rPr>
                <w:rFonts w:ascii="仿宋_GB2312" w:hAnsi="仿宋_GB2312" w:cs="仿宋_GB2312" w:eastAsia="仿宋_GB2312"/>
                <w:sz w:val="21"/>
                <w:color w:val="000000"/>
              </w:rPr>
              <w:t>①供应商必须提供具有相应专业知识、实际工作和教学经验的培训讲师、辅导人员和相应的教材，培训所使用的语言和教材必须是中文。</w:t>
            </w:r>
          </w:p>
          <w:p>
            <w:pPr>
              <w:pStyle w:val="null3"/>
              <w:spacing w:after="165"/>
              <w:ind w:firstLine="420"/>
              <w:jc w:val="both"/>
            </w:pPr>
            <w:r>
              <w:rPr>
                <w:rFonts w:ascii="仿宋_GB2312" w:hAnsi="仿宋_GB2312" w:cs="仿宋_GB2312" w:eastAsia="仿宋_GB2312"/>
                <w:sz w:val="21"/>
                <w:color w:val="000000"/>
              </w:rPr>
              <w:t>②供应商负责提供培训所需计划和资料（包括纸质文档和电子文档），采购人有权在系统内部使用这些培训资料。</w:t>
            </w:r>
          </w:p>
          <w:p>
            <w:pPr>
              <w:pStyle w:val="null3"/>
              <w:spacing w:after="165"/>
              <w:ind w:firstLine="420"/>
              <w:jc w:val="both"/>
            </w:pPr>
            <w:r>
              <w:rPr>
                <w:rFonts w:ascii="仿宋_GB2312" w:hAnsi="仿宋_GB2312" w:cs="仿宋_GB2312" w:eastAsia="仿宋_GB2312"/>
                <w:sz w:val="21"/>
                <w:color w:val="000000"/>
              </w:rPr>
              <w:t>③培训的时间、内容、人员、期次等项内容在具体执行过程中需根据采购人意见进行调整。</w:t>
            </w:r>
          </w:p>
          <w:p>
            <w:pPr>
              <w:pStyle w:val="null3"/>
              <w:spacing w:after="165"/>
              <w:ind w:firstLine="420"/>
              <w:jc w:val="both"/>
            </w:pPr>
            <w:r>
              <w:rPr>
                <w:rFonts w:ascii="仿宋_GB2312" w:hAnsi="仿宋_GB2312" w:cs="仿宋_GB2312" w:eastAsia="仿宋_GB2312"/>
                <w:sz w:val="21"/>
                <w:color w:val="000000"/>
              </w:rPr>
              <w:t>在投标文件中，供应商应提供培训方案和培训承诺。培训方案主要包括培训组织机构、培训体系、培训方式、培训质量保障等几个方面，并按照上述要求进行详细说明。</w:t>
            </w:r>
          </w:p>
          <w:p>
            <w:pPr>
              <w:pStyle w:val="null3"/>
              <w:spacing w:after="165"/>
              <w:ind w:firstLine="420"/>
              <w:jc w:val="both"/>
            </w:pPr>
            <w:r>
              <w:rPr>
                <w:rFonts w:ascii="仿宋_GB2312" w:hAnsi="仿宋_GB2312" w:cs="仿宋_GB2312" w:eastAsia="仿宋_GB2312"/>
                <w:sz w:val="21"/>
                <w:b/>
                <w:color w:val="000000"/>
              </w:rPr>
              <w:t>19.成果验收标准及要求</w:t>
            </w:r>
          </w:p>
          <w:p>
            <w:pPr>
              <w:pStyle w:val="null3"/>
              <w:spacing w:after="165"/>
              <w:ind w:firstLine="420"/>
              <w:jc w:val="both"/>
            </w:pPr>
            <w:r>
              <w:rPr>
                <w:rFonts w:ascii="仿宋_GB2312" w:hAnsi="仿宋_GB2312" w:cs="仿宋_GB2312" w:eastAsia="仿宋_GB2312"/>
                <w:sz w:val="21"/>
                <w:color w:val="000000"/>
              </w:rPr>
              <w:t>①试运行结束无质量问题后，中标人向采购人提交验收申请。</w:t>
            </w:r>
          </w:p>
          <w:p>
            <w:pPr>
              <w:pStyle w:val="null3"/>
              <w:spacing w:after="165"/>
              <w:ind w:firstLine="420"/>
              <w:jc w:val="both"/>
            </w:pPr>
            <w:r>
              <w:rPr>
                <w:rFonts w:ascii="仿宋_GB2312" w:hAnsi="仿宋_GB2312" w:cs="仿宋_GB2312" w:eastAsia="仿宋_GB2312"/>
                <w:sz w:val="21"/>
                <w:color w:val="000000"/>
              </w:rPr>
              <w:t>②采购人收到验收申请后进行验收，验收时中标人应无条件予以配合并提供验收所需的全部资料，若中标人不配合或者未按合同要求提供服务的，采购人将拒绝验收。</w:t>
            </w:r>
          </w:p>
          <w:p>
            <w:pPr>
              <w:pStyle w:val="null3"/>
              <w:spacing w:after="165"/>
              <w:ind w:firstLine="420"/>
              <w:jc w:val="both"/>
            </w:pPr>
            <w:r>
              <w:rPr>
                <w:rFonts w:ascii="仿宋_GB2312" w:hAnsi="仿宋_GB2312" w:cs="仿宋_GB2312" w:eastAsia="仿宋_GB2312"/>
                <w:sz w:val="21"/>
                <w:color w:val="000000"/>
              </w:rPr>
              <w:t>③验收依据：招标文件、投标文件、合同文本、国内相应的标准及规范。</w:t>
            </w:r>
          </w:p>
          <w:p>
            <w:pPr>
              <w:pStyle w:val="null3"/>
              <w:jc w:val="left"/>
            </w:pPr>
            <w:r>
              <w:rPr>
                <w:rFonts w:ascii="仿宋_GB2312" w:hAnsi="仿宋_GB2312" w:cs="仿宋_GB2312" w:eastAsia="仿宋_GB2312"/>
                <w:sz w:val="21"/>
                <w:b/>
                <w:color w:val="000000"/>
              </w:rPr>
              <w:t>四、保密要求</w:t>
            </w:r>
          </w:p>
          <w:p>
            <w:pPr>
              <w:pStyle w:val="null3"/>
              <w:spacing w:after="165"/>
              <w:ind w:firstLine="420"/>
              <w:jc w:val="both"/>
            </w:pPr>
            <w:r>
              <w:rPr>
                <w:rFonts w:ascii="仿宋_GB2312" w:hAnsi="仿宋_GB2312" w:cs="仿宋_GB2312" w:eastAsia="仿宋_GB2312"/>
                <w:sz w:val="21"/>
                <w:color w:val="000000"/>
              </w:rPr>
              <w:t>由采购人收集的、开发的、整理的、复制的、研究的和准备的与本项目工作有关的所有资料在提供给中标人时，均被视为保密的，不得泄露给除采购人或指定的代表之外的任何人、企业或公司，不管本项目因何种原因终止，本保密条款一直约束中标人；中标人在履行合同过程中所获得或接触到的任何内部数据资料，未经采购人同意，不得向第三方透露；中标人实施项目的一切程序都应符合国家安全、保密的有关规定和招标文件、中标人投标文件、国家和行业有关规范、规程和标准。</w:t>
            </w:r>
          </w:p>
          <w:p>
            <w:pPr>
              <w:pStyle w:val="null3"/>
              <w:spacing w:after="165"/>
              <w:jc w:val="left"/>
            </w:pPr>
            <w:r>
              <w:rPr>
                <w:rFonts w:ascii="仿宋_GB2312" w:hAnsi="仿宋_GB2312" w:cs="仿宋_GB2312" w:eastAsia="仿宋_GB2312"/>
                <w:sz w:val="21"/>
                <w:b/>
                <w:color w:val="000000"/>
              </w:rPr>
              <w:t>五、报价要求</w:t>
            </w:r>
          </w:p>
          <w:p>
            <w:pPr>
              <w:pStyle w:val="null3"/>
              <w:ind w:firstLine="420"/>
              <w:jc w:val="left"/>
            </w:pPr>
            <w:r>
              <w:rPr>
                <w:rFonts w:ascii="仿宋_GB2312" w:hAnsi="仿宋_GB2312" w:cs="仿宋_GB2312" w:eastAsia="仿宋_GB2312"/>
                <w:sz w:val="21"/>
                <w:color w:val="000000"/>
              </w:rPr>
              <w:t>在项目实施过程中可能出现任务量增加情况，投标人报价应将此差异考虑在投标报价中，合同总价一次包死。</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详见技术参数与性能指标及评分标准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详见技术参数与性能指标及评分标准</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详见技术参数与性能指标及评分标准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合同签订后6个月内完成。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合同签订后6个月内完成。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合同签订后6个月内完成。合同签订后5个月完成平台全部部署工作；试运行期限：部署完成后1个月。运维期限：两年。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检验的项目成果由采购人负责组织验收，或者邀请有关专家、采购代理机构共同进行验收,验收费用由供应商支付；验收合格须交接项目实施的全部资料，并填写政府采购项目验收报告单。验收须以合同、招标文件及投标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通过检验的项目成果由采购人负责组织验收，或者邀请有关专家、采购代理机构共同进行验收,验收费用由供应商支付；验收合格须交接项目实施的全部资料，并填写政府采购项目验收报告单。验收须以合同、招标文件及投标文件、澄清、及国家相应的标准、规范等为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通过检验的项目成果由采购人负责组织验收，或者邀请有关专家、采购代理机构共同进行验收,验收费用由供应商支付；验收合格须交接项目实施的全部资料，并填写政府采购项目验收报告单。验收须以合同、招标文件及投标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采购人结算，在付款前，必须开具全额发票给采购人。合同签订后5个工作日内支付合同总价款的50%作为预付款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乙方完成工作量的60%后，支付合同总价款的30%作为进度款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乙方完成全部工作量后，支付合同总价款的20%剩余款项。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采购人结算，在付款前，必须开具全额发票给采购人。合同签订后5个工作日内支付合同总价款的50%作为预付款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乙方完成工作量的60%后，支付合同总价款的30%作为进度款。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乙方完成全部工作量后，支付合同总价款的20%剩余款项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采购人结算，在付款前，必须开具全额发票给采购人。合同签订后5个工作日内支付合同总价款的50%作为预付款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乙方完成工作量的60%后，支付合同总价款的30%作为进度款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乙方完成全部工作量后，支付合同总价款的20%剩余款项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（1）合同执行中发生争议的，当事人双方应协商解决，协商达不成一致时，可向采购人所在地人民法院提请诉讼。 （2）在发生不可抗力情况下的应对措施和解决办法。 （3）合同一经签订，不得擅自变更、中止或者终止合同。对确需变更、调整或者中止、终止合同的，应按规定履行相应的手续。 （4）违约责任：依据《中华人民共和国民法典》、《中华人民共和国政府采购法》的相关条款和本合同约定，供应商未全面履行合同义务或者发生违约，采购人会同采购代理机构有权终止合同，依法向供应商进行经济索赔，并报请政府采购监督管理机关进行相应的行政处罚。采购人违约的，应当赔偿给供应商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（1）合同执行中发生争议的，当事人双方应协商解决，协商达不成一致时，可向采购人所在地人民法院提请诉讼。 （2）在发生不可抗力情况下的应对措施和解决办法。 （3）合同一经签订，不得擅自变更、中止或者终止合同。对确需变更、调整或者中止、终止合同的，应按规定履行相应的手续。 （4）违约责任：依据《中华人民共和国民法典》、《中华人民共和国政府采购法》的相关条款和本合同约定，供应商未全面履行合同义务或者发生违约，采购人会同采购代理机构有权终止合同，依法向供应商进行经济索赔，并报请政府采购监督管理机关进行相应的行政处罚。采购人违约的，应当赔偿给供应商造成的经济损失。</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（1）合同执行中发生争议的，当事人双方应协商解决，协商达不成一致时，可向采购人所在地人民法院提请诉讼。 （2）在发生不可抗力情况下的应对措施和解决办法。 （3）合同一经签订，不得擅自变更、中止或者终止合同。对确需变更、调整或者中止、终止合同的，应按规定履行相应的手续。 （4）违约责任：依据《中华人民共和国民法典》、《中华人民共和国政府采购法》的相关条款和本合同约定，供应商未全面履行合同义务或者发生违约，采购人会同采购代理机构有权终止合同，依法向供应商进行经济索赔，并报请政府采购监督管理机关进行相应的行政处罚。采购人违约的，应当赔偿给供应商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1.本项目非专门面向中小企业 2.供应商应自投标文件递交截止时间起至评标结束保持在线状态。 3.中标人在领取中标通知书前将纸质版投标文件正本 1 份、副本 1 份打印后提交至采购代理公司处，中标人应保持投标文件纸质版内容与电子版内容完全一致，否则将承担一切法律责任。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商务应答</w:t>
            </w:r>
          </w:p>
        </w:tc>
        <w:tc>
          <w:tcPr>
            <w:tcW w:type="dxa" w:w="3322"/>
          </w:tcPr>
          <w:p>
            <w:pPr>
              <w:pStyle w:val="null3"/>
            </w:pPr>
            <w:r>
              <w:rPr>
                <w:rFonts w:ascii="仿宋_GB2312" w:hAnsi="仿宋_GB2312" w:cs="仿宋_GB2312" w:eastAsia="仿宋_GB2312"/>
              </w:rPr>
              <w:t>商务偏离表</w:t>
            </w:r>
          </w:p>
        </w:tc>
        <w:tc>
          <w:tcPr>
            <w:tcW w:type="dxa" w:w="1661"/>
          </w:tcPr>
          <w:p>
            <w:pPr>
              <w:pStyle w:val="null3"/>
            </w:pPr>
            <w:r>
              <w:rPr>
                <w:rFonts w:ascii="仿宋_GB2312" w:hAnsi="仿宋_GB2312" w:cs="仿宋_GB2312" w:eastAsia="仿宋_GB2312"/>
              </w:rPr>
              <w:t>投标文件封面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服务要求应答</w:t>
            </w:r>
          </w:p>
        </w:tc>
        <w:tc>
          <w:tcPr>
            <w:tcW w:type="dxa" w:w="3322"/>
          </w:tcPr>
          <w:p>
            <w:pPr>
              <w:pStyle w:val="null3"/>
            </w:pPr>
            <w:r>
              <w:rPr>
                <w:rFonts w:ascii="仿宋_GB2312" w:hAnsi="仿宋_GB2312" w:cs="仿宋_GB2312" w:eastAsia="仿宋_GB2312"/>
              </w:rPr>
              <w:t>服务要求偏离表</w:t>
            </w:r>
          </w:p>
        </w:tc>
        <w:tc>
          <w:tcPr>
            <w:tcW w:type="dxa" w:w="1661"/>
          </w:tcPr>
          <w:p>
            <w:pPr>
              <w:pStyle w:val="null3"/>
            </w:pPr>
            <w:r>
              <w:rPr>
                <w:rFonts w:ascii="仿宋_GB2312" w:hAnsi="仿宋_GB2312" w:cs="仿宋_GB2312" w:eastAsia="仿宋_GB2312"/>
              </w:rPr>
              <w:t>服务要求偏离表.docx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商务应答</w:t>
            </w:r>
          </w:p>
        </w:tc>
        <w:tc>
          <w:tcPr>
            <w:tcW w:type="dxa" w:w="3322"/>
          </w:tcPr>
          <w:p>
            <w:pPr>
              <w:pStyle w:val="null3"/>
            </w:pPr>
            <w:r>
              <w:rPr>
                <w:rFonts w:ascii="仿宋_GB2312" w:hAnsi="仿宋_GB2312" w:cs="仿宋_GB2312" w:eastAsia="仿宋_GB2312"/>
              </w:rPr>
              <w:t>商务偏离表</w:t>
            </w:r>
          </w:p>
        </w:tc>
        <w:tc>
          <w:tcPr>
            <w:tcW w:type="dxa" w:w="1661"/>
          </w:tcPr>
          <w:p>
            <w:pPr>
              <w:pStyle w:val="null3"/>
            </w:pPr>
            <w:r>
              <w:rPr>
                <w:rFonts w:ascii="仿宋_GB2312" w:hAnsi="仿宋_GB2312" w:cs="仿宋_GB2312" w:eastAsia="仿宋_GB2312"/>
              </w:rPr>
              <w:t>投标文件封面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服务要求应答</w:t>
            </w:r>
          </w:p>
        </w:tc>
        <w:tc>
          <w:tcPr>
            <w:tcW w:type="dxa" w:w="3322"/>
          </w:tcPr>
          <w:p>
            <w:pPr>
              <w:pStyle w:val="null3"/>
            </w:pPr>
            <w:r>
              <w:rPr>
                <w:rFonts w:ascii="仿宋_GB2312" w:hAnsi="仿宋_GB2312" w:cs="仿宋_GB2312" w:eastAsia="仿宋_GB2312"/>
              </w:rPr>
              <w:t>服务要求偏离表</w:t>
            </w:r>
          </w:p>
        </w:tc>
        <w:tc>
          <w:tcPr>
            <w:tcW w:type="dxa" w:w="1661"/>
          </w:tcPr>
          <w:p>
            <w:pPr>
              <w:pStyle w:val="null3"/>
            </w:pPr>
            <w:r>
              <w:rPr>
                <w:rFonts w:ascii="仿宋_GB2312" w:hAnsi="仿宋_GB2312" w:cs="仿宋_GB2312" w:eastAsia="仿宋_GB2312"/>
              </w:rPr>
              <w:t>服务要求偏离表.docx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商务应答</w:t>
            </w:r>
          </w:p>
        </w:tc>
        <w:tc>
          <w:tcPr>
            <w:tcW w:type="dxa" w:w="3322"/>
          </w:tcPr>
          <w:p>
            <w:pPr>
              <w:pStyle w:val="null3"/>
            </w:pPr>
            <w:r>
              <w:rPr>
                <w:rFonts w:ascii="仿宋_GB2312" w:hAnsi="仿宋_GB2312" w:cs="仿宋_GB2312" w:eastAsia="仿宋_GB2312"/>
              </w:rPr>
              <w:t>商务偏离表</w:t>
            </w:r>
          </w:p>
        </w:tc>
        <w:tc>
          <w:tcPr>
            <w:tcW w:type="dxa" w:w="1661"/>
          </w:tcPr>
          <w:p>
            <w:pPr>
              <w:pStyle w:val="null3"/>
            </w:pPr>
            <w:r>
              <w:rPr>
                <w:rFonts w:ascii="仿宋_GB2312" w:hAnsi="仿宋_GB2312" w:cs="仿宋_GB2312" w:eastAsia="仿宋_GB2312"/>
              </w:rPr>
              <w:t>投标文件封面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服务要求应答</w:t>
            </w:r>
          </w:p>
        </w:tc>
        <w:tc>
          <w:tcPr>
            <w:tcW w:type="dxa" w:w="3322"/>
          </w:tcPr>
          <w:p>
            <w:pPr>
              <w:pStyle w:val="null3"/>
            </w:pPr>
            <w:r>
              <w:rPr>
                <w:rFonts w:ascii="仿宋_GB2312" w:hAnsi="仿宋_GB2312" w:cs="仿宋_GB2312" w:eastAsia="仿宋_GB2312"/>
              </w:rPr>
              <w:t>服务要求偏离表</w:t>
            </w:r>
          </w:p>
        </w:tc>
        <w:tc>
          <w:tcPr>
            <w:tcW w:type="dxa" w:w="1661"/>
          </w:tcPr>
          <w:p>
            <w:pPr>
              <w:pStyle w:val="null3"/>
            </w:pPr>
            <w:r>
              <w:rPr>
                <w:rFonts w:ascii="仿宋_GB2312" w:hAnsi="仿宋_GB2312" w:cs="仿宋_GB2312" w:eastAsia="仿宋_GB2312"/>
              </w:rPr>
              <w:t>服务要求偏离表.docx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项目重难点分析（1）</w:t>
            </w:r>
          </w:p>
        </w:tc>
        <w:tc>
          <w:tcPr>
            <w:tcW w:type="dxa" w:w="2492"/>
          </w:tcPr>
          <w:p>
            <w:pPr>
              <w:pStyle w:val="null3"/>
            </w:pPr>
            <w:r>
              <w:rPr>
                <w:rFonts w:ascii="仿宋_GB2312" w:hAnsi="仿宋_GB2312" w:cs="仿宋_GB2312" w:eastAsia="仿宋_GB2312"/>
              </w:rPr>
              <w:t>1）对项目实施中的难点、重点分析全面、准确，计0-4分；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项目重难点分析（2）</w:t>
            </w:r>
          </w:p>
        </w:tc>
        <w:tc>
          <w:tcPr>
            <w:tcW w:type="dxa" w:w="2492"/>
          </w:tcPr>
          <w:p>
            <w:pPr>
              <w:pStyle w:val="null3"/>
            </w:pPr>
            <w:r>
              <w:rPr>
                <w:rFonts w:ascii="仿宋_GB2312" w:hAnsi="仿宋_GB2312" w:cs="仿宋_GB2312" w:eastAsia="仿宋_GB2312"/>
              </w:rPr>
              <w:t>2）针对项目重难点内容提供针对性的措施或解决思路，计0-4分。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建井技术方案（1）</w:t>
            </w:r>
          </w:p>
        </w:tc>
        <w:tc>
          <w:tcPr>
            <w:tcW w:type="dxa" w:w="2492"/>
          </w:tcPr>
          <w:p>
            <w:pPr>
              <w:pStyle w:val="null3"/>
            </w:pPr>
            <w:r>
              <w:rPr>
                <w:rFonts w:ascii="仿宋_GB2312" w:hAnsi="仿宋_GB2312" w:cs="仿宋_GB2312" w:eastAsia="仿宋_GB2312"/>
              </w:rPr>
              <w:t>根据地下水监测井建设技术措施、建井管材选用、实施过程记录等，对地下水监测井实施方案进行评分。 1）建井技术措施合理，符合相关技术规范要求，计0-4分；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建井技术方案（2）</w:t>
            </w:r>
          </w:p>
        </w:tc>
        <w:tc>
          <w:tcPr>
            <w:tcW w:type="dxa" w:w="2492"/>
          </w:tcPr>
          <w:p>
            <w:pPr>
              <w:pStyle w:val="null3"/>
            </w:pPr>
            <w:r>
              <w:rPr>
                <w:rFonts w:ascii="仿宋_GB2312" w:hAnsi="仿宋_GB2312" w:cs="仿宋_GB2312" w:eastAsia="仿宋_GB2312"/>
              </w:rPr>
              <w:t>2）监测井建井管材选用合理，满足建井需求，计0-4分；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建井技术方案（3）</w:t>
            </w:r>
          </w:p>
        </w:tc>
        <w:tc>
          <w:tcPr>
            <w:tcW w:type="dxa" w:w="2492"/>
          </w:tcPr>
          <w:p>
            <w:pPr>
              <w:pStyle w:val="null3"/>
            </w:pPr>
            <w:r>
              <w:rPr>
                <w:rFonts w:ascii="仿宋_GB2312" w:hAnsi="仿宋_GB2312" w:cs="仿宋_GB2312" w:eastAsia="仿宋_GB2312"/>
              </w:rPr>
              <w:t>3）建井质量保证措施科学合理，计0-4分；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建井技术方案（4）</w:t>
            </w:r>
          </w:p>
        </w:tc>
        <w:tc>
          <w:tcPr>
            <w:tcW w:type="dxa" w:w="2492"/>
          </w:tcPr>
          <w:p>
            <w:pPr>
              <w:pStyle w:val="null3"/>
            </w:pPr>
            <w:r>
              <w:rPr>
                <w:rFonts w:ascii="仿宋_GB2312" w:hAnsi="仿宋_GB2312" w:cs="仿宋_GB2312" w:eastAsia="仿宋_GB2312"/>
              </w:rPr>
              <w:t>4）过程记录完整可行，计0-3分。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配合采样工作（1）</w:t>
            </w:r>
          </w:p>
        </w:tc>
        <w:tc>
          <w:tcPr>
            <w:tcW w:type="dxa" w:w="2492"/>
          </w:tcPr>
          <w:p>
            <w:pPr>
              <w:pStyle w:val="null3"/>
            </w:pPr>
            <w:r>
              <w:rPr>
                <w:rFonts w:ascii="仿宋_GB2312" w:hAnsi="仿宋_GB2312" w:cs="仿宋_GB2312" w:eastAsia="仿宋_GB2312"/>
              </w:rPr>
              <w:t>根据配合采样工作的工作内容、工作节点、工作注意事项。 1）工作内容，0-3分；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配合采样工作（2）</w:t>
            </w:r>
          </w:p>
        </w:tc>
        <w:tc>
          <w:tcPr>
            <w:tcW w:type="dxa" w:w="2492"/>
          </w:tcPr>
          <w:p>
            <w:pPr>
              <w:pStyle w:val="null3"/>
            </w:pPr>
            <w:r>
              <w:rPr>
                <w:rFonts w:ascii="仿宋_GB2312" w:hAnsi="仿宋_GB2312" w:cs="仿宋_GB2312" w:eastAsia="仿宋_GB2312"/>
              </w:rPr>
              <w:t>2）工作节点，0-3分；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配合采样工作（3）</w:t>
            </w:r>
          </w:p>
        </w:tc>
        <w:tc>
          <w:tcPr>
            <w:tcW w:type="dxa" w:w="2492"/>
          </w:tcPr>
          <w:p>
            <w:pPr>
              <w:pStyle w:val="null3"/>
            </w:pPr>
            <w:r>
              <w:rPr>
                <w:rFonts w:ascii="仿宋_GB2312" w:hAnsi="仿宋_GB2312" w:cs="仿宋_GB2312" w:eastAsia="仿宋_GB2312"/>
              </w:rPr>
              <w:t>3）工作注意事项。0-3分。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1）施工组织的完整性、合理性、可行性，计0-4分；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2）采样现场作业安全管理制度完善的完善性、措施具体性，计0-4分；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根据钻探现场采样及处理突发情况的应急处理措施，确保钻探过程中的安全和质量，计0-4分。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保密制度完善、措施具体可行，满足招标文件要求，根据详细程度和可行性计0-3分，未提供不得分。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钻探建井设备</w:t>
            </w:r>
          </w:p>
        </w:tc>
        <w:tc>
          <w:tcPr>
            <w:tcW w:type="dxa" w:w="2492"/>
          </w:tcPr>
          <w:p>
            <w:pPr>
              <w:pStyle w:val="null3"/>
            </w:pPr>
            <w:r>
              <w:rPr>
                <w:rFonts w:ascii="仿宋_GB2312" w:hAnsi="仿宋_GB2312" w:cs="仿宋_GB2312" w:eastAsia="仿宋_GB2312"/>
              </w:rPr>
              <w:t>建井工作至少配备2套钻探建井设备能满足土壤非扰动样采取（孔径不小于ø110mm，孔深30m内）、地层鉴别岩心采取（孔径不小于ø110mm，孔深100m内）、监测井建设（终孔成孔口径不小于ø325mm,孔深100m内）的钻探建井设备,完全满足的得8分，不满足不得分。 注：需①提供设备清单、钻探设备的产权证明，证明材料不限于购置发票（发票单位名称应与投标人一致）、租赁协议复印件。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项目负责人具有环境、土壤、水文地质、勘探类相关专业高级及以上职称，并具有2年以上的环境调查或同类工作经验，得4分。 注：①需要提供项目负责人身份证、职称证复印件②工作经验可提供人员履历介绍、在职证明、背景证明（毕业证或职称等）等。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技术团队</w:t>
            </w:r>
          </w:p>
        </w:tc>
        <w:tc>
          <w:tcPr>
            <w:tcW w:type="dxa" w:w="2492"/>
          </w:tcPr>
          <w:p>
            <w:pPr>
              <w:pStyle w:val="null3"/>
            </w:pPr>
            <w:r>
              <w:rPr>
                <w:rFonts w:ascii="仿宋_GB2312" w:hAnsi="仿宋_GB2312" w:cs="仿宋_GB2312" w:eastAsia="仿宋_GB2312"/>
              </w:rPr>
              <w:t>团队人员（除项目负责人）具有环境、土壤、水文地质、勘探类相关相关专业中级以上职称，并具有2年以上钻探工作经验且不少于11人，计7分，每增加一人得1分，共11分。 注：①需要提供人员身份证、职称证复印件 ②工作经验可提供人员履历介绍、在职证明、背景证明（毕业证或职称等）等。</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2020年1月1日至今具有类似建井项目业绩，每有1项得3分，满分15分。 注：①业绩以合同为准，时间以合同签订时间为准。②需提供完整合同复印件。③合同中如包括多地块的，每个地块为一份业绩，但需要明确的地块划分和编号。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1）最低评审价为评审基准价，得15分； 2）按（评审基准价/评审价×15）的公式计算价格得分。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项目重难点分析（1）</w:t>
            </w:r>
          </w:p>
        </w:tc>
        <w:tc>
          <w:tcPr>
            <w:tcW w:type="dxa" w:w="2492"/>
          </w:tcPr>
          <w:p>
            <w:pPr>
              <w:pStyle w:val="null3"/>
            </w:pPr>
            <w:r>
              <w:rPr>
                <w:rFonts w:ascii="仿宋_GB2312" w:hAnsi="仿宋_GB2312" w:cs="仿宋_GB2312" w:eastAsia="仿宋_GB2312"/>
              </w:rPr>
              <w:t>1）对项目实施中的难点、重点分析全面、准确，计0-4分；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项目重难点分析（2）</w:t>
            </w:r>
          </w:p>
        </w:tc>
        <w:tc>
          <w:tcPr>
            <w:tcW w:type="dxa" w:w="2492"/>
          </w:tcPr>
          <w:p>
            <w:pPr>
              <w:pStyle w:val="null3"/>
            </w:pPr>
            <w:r>
              <w:rPr>
                <w:rFonts w:ascii="仿宋_GB2312" w:hAnsi="仿宋_GB2312" w:cs="仿宋_GB2312" w:eastAsia="仿宋_GB2312"/>
              </w:rPr>
              <w:t>2）针对项目重难点内容提供针对性的措施或解决思路，计0-4分。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技术方案（1）</w:t>
            </w:r>
          </w:p>
        </w:tc>
        <w:tc>
          <w:tcPr>
            <w:tcW w:type="dxa" w:w="2492"/>
          </w:tcPr>
          <w:p>
            <w:pPr>
              <w:pStyle w:val="null3"/>
            </w:pPr>
            <w:r>
              <w:rPr>
                <w:rFonts w:ascii="仿宋_GB2312" w:hAnsi="仿宋_GB2312" w:cs="仿宋_GB2312" w:eastAsia="仿宋_GB2312"/>
              </w:rPr>
              <w:t>1）技术方案的合规性、合理性，计0-4分；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技术方案（2）</w:t>
            </w:r>
          </w:p>
        </w:tc>
        <w:tc>
          <w:tcPr>
            <w:tcW w:type="dxa" w:w="2492"/>
          </w:tcPr>
          <w:p>
            <w:pPr>
              <w:pStyle w:val="null3"/>
            </w:pPr>
            <w:r>
              <w:rPr>
                <w:rFonts w:ascii="仿宋_GB2312" w:hAnsi="仿宋_GB2312" w:cs="仿宋_GB2312" w:eastAsia="仿宋_GB2312"/>
              </w:rPr>
              <w:t>2）技术方案的科学性、先进性，计0-4分；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技术方案（3）</w:t>
            </w:r>
          </w:p>
        </w:tc>
        <w:tc>
          <w:tcPr>
            <w:tcW w:type="dxa" w:w="2492"/>
          </w:tcPr>
          <w:p>
            <w:pPr>
              <w:pStyle w:val="null3"/>
            </w:pPr>
            <w:r>
              <w:rPr>
                <w:rFonts w:ascii="仿宋_GB2312" w:hAnsi="仿宋_GB2312" w:cs="仿宋_GB2312" w:eastAsia="仿宋_GB2312"/>
              </w:rPr>
              <w:t>3）技术方案的可操作性、实施性，计0-4分。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技术要求（1）</w:t>
            </w:r>
          </w:p>
        </w:tc>
        <w:tc>
          <w:tcPr>
            <w:tcW w:type="dxa" w:w="2492"/>
          </w:tcPr>
          <w:p>
            <w:pPr>
              <w:pStyle w:val="null3"/>
            </w:pPr>
            <w:r>
              <w:rPr>
                <w:rFonts w:ascii="仿宋_GB2312" w:hAnsi="仿宋_GB2312" w:cs="仿宋_GB2312" w:eastAsia="仿宋_GB2312"/>
              </w:rPr>
              <w:t>1）检测方法的科学性与规范性，检测方法应符合国家或行业相关标准，确保检测结果的准确性和可靠性，计0-4分；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技术要求（2）</w:t>
            </w:r>
          </w:p>
        </w:tc>
        <w:tc>
          <w:tcPr>
            <w:tcW w:type="dxa" w:w="2492"/>
          </w:tcPr>
          <w:p>
            <w:pPr>
              <w:pStyle w:val="null3"/>
            </w:pPr>
            <w:r>
              <w:rPr>
                <w:rFonts w:ascii="仿宋_GB2312" w:hAnsi="仿宋_GB2312" w:cs="仿宋_GB2312" w:eastAsia="仿宋_GB2312"/>
              </w:rPr>
              <w:t>2）数据处理与分析能力，供应商对检测数据进行准确的分析和处理，计0-4分；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供应商对突发事件的应急处理措施，计0-3分。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检测设备（1）</w:t>
            </w:r>
          </w:p>
        </w:tc>
        <w:tc>
          <w:tcPr>
            <w:tcW w:type="dxa" w:w="2492"/>
          </w:tcPr>
          <w:p>
            <w:pPr>
              <w:pStyle w:val="null3"/>
            </w:pPr>
            <w:r>
              <w:rPr>
                <w:rFonts w:ascii="仿宋_GB2312" w:hAnsi="仿宋_GB2312" w:cs="仿宋_GB2312" w:eastAsia="仿宋_GB2312"/>
              </w:rPr>
              <w:t>1）拟使用的自有地下水氮同位素样品检测设备清单，计0-4分。 （自有设备提供设备采购合同或发票证明）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检测设备（2）</w:t>
            </w:r>
          </w:p>
        </w:tc>
        <w:tc>
          <w:tcPr>
            <w:tcW w:type="dxa" w:w="2492"/>
          </w:tcPr>
          <w:p>
            <w:pPr>
              <w:pStyle w:val="null3"/>
            </w:pPr>
            <w:r>
              <w:rPr>
                <w:rFonts w:ascii="仿宋_GB2312" w:hAnsi="仿宋_GB2312" w:cs="仿宋_GB2312" w:eastAsia="仿宋_GB2312"/>
              </w:rPr>
              <w:t>2）拟使用的自有矿物X衍射分析设备清单，计0-4分。 （自有设备提供设备采购合同或发票证明）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检测设备（3）</w:t>
            </w:r>
          </w:p>
        </w:tc>
        <w:tc>
          <w:tcPr>
            <w:tcW w:type="dxa" w:w="2492"/>
          </w:tcPr>
          <w:p>
            <w:pPr>
              <w:pStyle w:val="null3"/>
            </w:pPr>
            <w:r>
              <w:rPr>
                <w:rFonts w:ascii="仿宋_GB2312" w:hAnsi="仿宋_GB2312" w:cs="仿宋_GB2312" w:eastAsia="仿宋_GB2312"/>
              </w:rPr>
              <w:t>3）拟使用的自有电镜扫描设备清单，计0-4分。 （自有设备提供设备采购合同或发票证明）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质量保证措施（1）</w:t>
            </w:r>
          </w:p>
        </w:tc>
        <w:tc>
          <w:tcPr>
            <w:tcW w:type="dxa" w:w="2492"/>
          </w:tcPr>
          <w:p>
            <w:pPr>
              <w:pStyle w:val="null3"/>
            </w:pPr>
            <w:r>
              <w:rPr>
                <w:rFonts w:ascii="仿宋_GB2312" w:hAnsi="仿宋_GB2312" w:cs="仿宋_GB2312" w:eastAsia="仿宋_GB2312"/>
              </w:rPr>
              <w:t>1）拟达到的质量目标，0-3分；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质量保证措施（2）</w:t>
            </w:r>
          </w:p>
        </w:tc>
        <w:tc>
          <w:tcPr>
            <w:tcW w:type="dxa" w:w="2492"/>
          </w:tcPr>
          <w:p>
            <w:pPr>
              <w:pStyle w:val="null3"/>
            </w:pPr>
            <w:r>
              <w:rPr>
                <w:rFonts w:ascii="仿宋_GB2312" w:hAnsi="仿宋_GB2312" w:cs="仿宋_GB2312" w:eastAsia="仿宋_GB2312"/>
              </w:rPr>
              <w:t>2）质量保障措施，0-3分。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进度保证措施（1）</w:t>
            </w:r>
          </w:p>
        </w:tc>
        <w:tc>
          <w:tcPr>
            <w:tcW w:type="dxa" w:w="2492"/>
          </w:tcPr>
          <w:p>
            <w:pPr>
              <w:pStyle w:val="null3"/>
            </w:pPr>
            <w:r>
              <w:rPr>
                <w:rFonts w:ascii="仿宋_GB2312" w:hAnsi="仿宋_GB2312" w:cs="仿宋_GB2312" w:eastAsia="仿宋_GB2312"/>
              </w:rPr>
              <w:t>1）样品检测进度措施，0-3分；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进度保证措施（2）</w:t>
            </w:r>
          </w:p>
        </w:tc>
        <w:tc>
          <w:tcPr>
            <w:tcW w:type="dxa" w:w="2492"/>
          </w:tcPr>
          <w:p>
            <w:pPr>
              <w:pStyle w:val="null3"/>
            </w:pPr>
            <w:r>
              <w:rPr>
                <w:rFonts w:ascii="仿宋_GB2312" w:hAnsi="仿宋_GB2312" w:cs="仿宋_GB2312" w:eastAsia="仿宋_GB2312"/>
              </w:rPr>
              <w:t>2）综合分析进度措施，0-3分。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保密措施与服务承诺（1）</w:t>
            </w:r>
          </w:p>
        </w:tc>
        <w:tc>
          <w:tcPr>
            <w:tcW w:type="dxa" w:w="2492"/>
          </w:tcPr>
          <w:p>
            <w:pPr>
              <w:pStyle w:val="null3"/>
            </w:pPr>
            <w:r>
              <w:rPr>
                <w:rFonts w:ascii="仿宋_GB2312" w:hAnsi="仿宋_GB2312" w:cs="仿宋_GB2312" w:eastAsia="仿宋_GB2312"/>
              </w:rPr>
              <w:t>1）保密制度完善、措施具体可行，满足招标文件要求，根据详细程度和可行性计0-2分；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保密措施与服务承诺（2）</w:t>
            </w:r>
          </w:p>
        </w:tc>
        <w:tc>
          <w:tcPr>
            <w:tcW w:type="dxa" w:w="2492"/>
          </w:tcPr>
          <w:p>
            <w:pPr>
              <w:pStyle w:val="null3"/>
            </w:pPr>
            <w:r>
              <w:rPr>
                <w:rFonts w:ascii="仿宋_GB2312" w:hAnsi="仿宋_GB2312" w:cs="仿宋_GB2312" w:eastAsia="仿宋_GB2312"/>
              </w:rPr>
              <w:t>2）投标人针对本项目提出合理化建议，提出的意见建议合理可行，有益于本项目在技术、质量、成果等方面进行改进的计0-2分；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保密措施与服务承诺（3）</w:t>
            </w:r>
          </w:p>
        </w:tc>
        <w:tc>
          <w:tcPr>
            <w:tcW w:type="dxa" w:w="2492"/>
          </w:tcPr>
          <w:p>
            <w:pPr>
              <w:pStyle w:val="null3"/>
            </w:pPr>
            <w:r>
              <w:rPr>
                <w:rFonts w:ascii="仿宋_GB2312" w:hAnsi="仿宋_GB2312" w:cs="仿宋_GB2312" w:eastAsia="仿宋_GB2312"/>
              </w:rPr>
              <w:t>3）投标人承诺充分利用环境样品检测数据，协助采购人进行综合研究，形成支撑本次污染溯源工作需求的成果，计0-2分。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拟派项目负责人具有化学或环境或生物或检测相关专业高级以上职称，并具有3年以上相关行业工作经验，得4分。 注：①需要提供项目负责人身份证、职称证复印件 ②工作经验可提供人员履历介绍、在职证明、背景证明（毕业证或职称等）等。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1）团队人员（除项目负责人）不得少于5人，团队人员需从事相关工作3年以上，计7分，不满足不得分；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2）具有化学或环境或生物或检测相关专业高级或以上职称，每有一人得1分，共3分。 注：①需要提供人员身份证、职称证复印件 ②工作经验可提供人员履历介绍、在职证明、背景证明（毕业证或职称等）等。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2020年1月1日至今具有土壤、地下水污染调查、溯源和风险防控等类似项目业绩，每有1项得3分，满分15分。 注：业绩以合同签订时间为准。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1）最低评审价为评审基准价，得10分。 2）按（评审基准价/评审价×10）的公式计算价格得分。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根据供应商对本项目建设背景与目标定位（1分）、需求分析（1分）、安全要求（1分）、性能要求（1分）、界面规范要求（1分）、数据规范要求（1分）等方面综合评价，共6分。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重点难点分析（1）</w:t>
            </w:r>
          </w:p>
        </w:tc>
        <w:tc>
          <w:tcPr>
            <w:tcW w:type="dxa" w:w="2492"/>
          </w:tcPr>
          <w:p>
            <w:pPr>
              <w:pStyle w:val="null3"/>
            </w:pPr>
            <w:r>
              <w:rPr>
                <w:rFonts w:ascii="仿宋_GB2312" w:hAnsi="仿宋_GB2312" w:cs="仿宋_GB2312" w:eastAsia="仿宋_GB2312"/>
              </w:rPr>
              <w:t>供应商对本项目主要内容的重点和难点的理解和分析评价，共7分。 1）地下水同位素溯源解析，计0-2分；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重点难点分析（2）</w:t>
            </w:r>
          </w:p>
        </w:tc>
        <w:tc>
          <w:tcPr>
            <w:tcW w:type="dxa" w:w="2492"/>
          </w:tcPr>
          <w:p>
            <w:pPr>
              <w:pStyle w:val="null3"/>
            </w:pPr>
            <w:r>
              <w:rPr>
                <w:rFonts w:ascii="仿宋_GB2312" w:hAnsi="仿宋_GB2312" w:cs="仿宋_GB2312" w:eastAsia="仿宋_GB2312"/>
              </w:rPr>
              <w:t>2）地下水污染分布与水土介质迁移规律解析，计0-2分；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重点难点分析（3）</w:t>
            </w:r>
          </w:p>
        </w:tc>
        <w:tc>
          <w:tcPr>
            <w:tcW w:type="dxa" w:w="2492"/>
          </w:tcPr>
          <w:p>
            <w:pPr>
              <w:pStyle w:val="null3"/>
            </w:pPr>
            <w:r>
              <w:rPr>
                <w:rFonts w:ascii="仿宋_GB2312" w:hAnsi="仿宋_GB2312" w:cs="仿宋_GB2312" w:eastAsia="仿宋_GB2312"/>
              </w:rPr>
              <w:t>3）应用服务系统建设，计0-3分。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架构设计</w:t>
            </w:r>
          </w:p>
        </w:tc>
        <w:tc>
          <w:tcPr>
            <w:tcW w:type="dxa" w:w="2492"/>
          </w:tcPr>
          <w:p>
            <w:pPr>
              <w:pStyle w:val="null3"/>
            </w:pPr>
            <w:r>
              <w:rPr>
                <w:rFonts w:ascii="仿宋_GB2312" w:hAnsi="仿宋_GB2312" w:cs="仿宋_GB2312" w:eastAsia="仿宋_GB2312"/>
              </w:rPr>
              <w:t>根据供应商对本项目总体技术架构设计、技术路线合理性综合评价，计0-3分。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功能设计（1）</w:t>
            </w:r>
          </w:p>
        </w:tc>
        <w:tc>
          <w:tcPr>
            <w:tcW w:type="dxa" w:w="2492"/>
          </w:tcPr>
          <w:p>
            <w:pPr>
              <w:pStyle w:val="null3"/>
            </w:pPr>
            <w:r>
              <w:rPr>
                <w:rFonts w:ascii="仿宋_GB2312" w:hAnsi="仿宋_GB2312" w:cs="仿宋_GB2312" w:eastAsia="仿宋_GB2312"/>
              </w:rPr>
              <w:t>从数据库建设、应用服务系统建设功能设计方案的合理性、完整性、需求契合度等进行综合评价。 1）数据库建设，计0-4分；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功能设计（2-1）</w:t>
            </w:r>
          </w:p>
        </w:tc>
        <w:tc>
          <w:tcPr>
            <w:tcW w:type="dxa" w:w="2492"/>
          </w:tcPr>
          <w:p>
            <w:pPr>
              <w:pStyle w:val="null3"/>
            </w:pPr>
            <w:r>
              <w:rPr>
                <w:rFonts w:ascii="仿宋_GB2312" w:hAnsi="仿宋_GB2312" w:cs="仿宋_GB2312" w:eastAsia="仿宋_GB2312"/>
              </w:rPr>
              <w:t>2）应用服务系统建设 ①数据接收与设备管理设计，计0-2分；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功能设计（2-2）</w:t>
            </w:r>
          </w:p>
        </w:tc>
        <w:tc>
          <w:tcPr>
            <w:tcW w:type="dxa" w:w="2492"/>
          </w:tcPr>
          <w:p>
            <w:pPr>
              <w:pStyle w:val="null3"/>
            </w:pPr>
            <w:r>
              <w:rPr>
                <w:rFonts w:ascii="仿宋_GB2312" w:hAnsi="仿宋_GB2312" w:cs="仿宋_GB2312" w:eastAsia="仿宋_GB2312"/>
              </w:rPr>
              <w:t>2）应用服务系统建设 ②基础数据管理设计，计0-2分；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功能设计（2-3-1）</w:t>
            </w:r>
          </w:p>
        </w:tc>
        <w:tc>
          <w:tcPr>
            <w:tcW w:type="dxa" w:w="2492"/>
          </w:tcPr>
          <w:p>
            <w:pPr>
              <w:pStyle w:val="null3"/>
            </w:pPr>
            <w:r>
              <w:rPr>
                <w:rFonts w:ascii="仿宋_GB2312" w:hAnsi="仿宋_GB2312" w:cs="仿宋_GB2312" w:eastAsia="仿宋_GB2312"/>
              </w:rPr>
              <w:t>2）应用服务系统建设 ③综合设计 a.地下水污染评价模块设计，计0-2分；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功能设计（2-3-2）</w:t>
            </w:r>
          </w:p>
        </w:tc>
        <w:tc>
          <w:tcPr>
            <w:tcW w:type="dxa" w:w="2492"/>
          </w:tcPr>
          <w:p>
            <w:pPr>
              <w:pStyle w:val="null3"/>
            </w:pPr>
            <w:r>
              <w:rPr>
                <w:rFonts w:ascii="仿宋_GB2312" w:hAnsi="仿宋_GB2312" w:cs="仿宋_GB2312" w:eastAsia="仿宋_GB2312"/>
              </w:rPr>
              <w:t>2）应用服务系统建设 ③综合设计 b.地下水污染预警模块设计，计0-2分；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功能设计（2-3-3）</w:t>
            </w:r>
          </w:p>
        </w:tc>
        <w:tc>
          <w:tcPr>
            <w:tcW w:type="dxa" w:w="2492"/>
          </w:tcPr>
          <w:p>
            <w:pPr>
              <w:pStyle w:val="null3"/>
            </w:pPr>
            <w:r>
              <w:rPr>
                <w:rFonts w:ascii="仿宋_GB2312" w:hAnsi="仿宋_GB2312" w:cs="仿宋_GB2312" w:eastAsia="仿宋_GB2312"/>
              </w:rPr>
              <w:t>2）应用服务系统建设 ③综合设计 c.地下水污染溯源设计，计0-2分；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功能设计（2-3-4）</w:t>
            </w:r>
          </w:p>
        </w:tc>
        <w:tc>
          <w:tcPr>
            <w:tcW w:type="dxa" w:w="2492"/>
          </w:tcPr>
          <w:p>
            <w:pPr>
              <w:pStyle w:val="null3"/>
            </w:pPr>
            <w:r>
              <w:rPr>
                <w:rFonts w:ascii="仿宋_GB2312" w:hAnsi="仿宋_GB2312" w:cs="仿宋_GB2312" w:eastAsia="仿宋_GB2312"/>
              </w:rPr>
              <w:t>2）应用服务系统建设 ③综合设计 d.三维展示模块设计，计0-2分。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功能设计（2-4）</w:t>
            </w:r>
          </w:p>
        </w:tc>
        <w:tc>
          <w:tcPr>
            <w:tcW w:type="dxa" w:w="2492"/>
          </w:tcPr>
          <w:p>
            <w:pPr>
              <w:pStyle w:val="null3"/>
            </w:pPr>
            <w:r>
              <w:rPr>
                <w:rFonts w:ascii="仿宋_GB2312" w:hAnsi="仿宋_GB2312" w:cs="仿宋_GB2312" w:eastAsia="仿宋_GB2312"/>
              </w:rPr>
              <w:t>2）应用服务系统建设 ④展示与决策支持设计，计0-2分。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根据供应商提供的实施方案的合理性、严谨性、完整性进行综合评价，计0-3分。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等保要求</w:t>
            </w:r>
          </w:p>
        </w:tc>
        <w:tc>
          <w:tcPr>
            <w:tcW w:type="dxa" w:w="2492"/>
          </w:tcPr>
          <w:p>
            <w:pPr>
              <w:pStyle w:val="null3"/>
            </w:pPr>
            <w:r>
              <w:rPr>
                <w:rFonts w:ascii="仿宋_GB2312" w:hAnsi="仿宋_GB2312" w:cs="仿宋_GB2312" w:eastAsia="仿宋_GB2312"/>
              </w:rPr>
              <w:t>管理平台信息系统等级保护能力需符合《信息安全等级保护管理办法》要求，配合第三方信息系统安全等级测评方案，计0-3分。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供应商应提供培训方案和培训承诺。培训方案主要包括培训组织机构、培训体系、培训方式、培训质量保障等几个方面，计0-4分；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保密制度完善、措施具体可行，满足招标文件要求，根据详细程度和可行性计0-3分。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售后服务方案内容完整，描述详细，内容及实施方案明确，根据响应情况计0-3分。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人员安排</w:t>
            </w:r>
          </w:p>
        </w:tc>
        <w:tc>
          <w:tcPr>
            <w:tcW w:type="dxa" w:w="2492"/>
          </w:tcPr>
          <w:p>
            <w:pPr>
              <w:pStyle w:val="null3"/>
            </w:pPr>
            <w:r>
              <w:rPr>
                <w:rFonts w:ascii="仿宋_GB2312" w:hAnsi="仿宋_GB2312" w:cs="仿宋_GB2312" w:eastAsia="仿宋_GB2312"/>
              </w:rPr>
              <w:t>1）项目负责人具有环保或系统开发类高级及以上职称，有提供证明材料得2分，其他不得分； 2）供应商拟派的项目团队人员中（项目负责人除外）具有环保或系统开发类高级及以上职称，每有一个得1分，最多得7分；具有环保或系统开发类中级职称，每有一个得0.5分，最多得3分。(需提供人员在本单位在职证明)。</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获奖情况</w:t>
            </w:r>
          </w:p>
        </w:tc>
        <w:tc>
          <w:tcPr>
            <w:tcW w:type="dxa" w:w="2492"/>
          </w:tcPr>
          <w:p>
            <w:pPr>
              <w:pStyle w:val="null3"/>
            </w:pPr>
            <w:r>
              <w:rPr>
                <w:rFonts w:ascii="仿宋_GB2312" w:hAnsi="仿宋_GB2312" w:cs="仿宋_GB2312" w:eastAsia="仿宋_GB2312"/>
              </w:rPr>
              <w:t>1）2020年以来，获得环保或系统开发领域国家级奖项，获一等奖得2分，二等奖得1分； 2）2020年以来，获得环保或系统开发领域省部级奖项，获一等奖得1分，二等奖得0.5分。 以上合计最多得5分。 注：投标文件中须提供获奖证书复印件并加盖供应商公章。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1）操作系统技术参数完全满足招标文件要求，得1分，有一项不满足不得分； 2）数据库技术参数完全满足招标文件要求，得2分，有一项不满足不得分； 3）中间件技术参数完全满足招标文件要求，得1分，有一项不满足不得分。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供应商具有有效的质量管理体系认证证书，计3分。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2020年1月1日以来，供应商承担过污染溯源、土壤或地下水数值模拟等相关项目的，每提供一项得2分，最多得8分；提供环保类平台建设相关项目，每提供一项得2分，最多得8分； 注：类似业绩以合同签订为准。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1）最低评审价为评审基准价，得10分。 2）按（评审基准价/评审价×10）的公式计算价格得分。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详见附件：服务要求偏离表.docx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详见附件：服务要求偏离表.docx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详见附件：服务要求偏离表.docx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