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版本号：ZDGC-ZC-250110720250417001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2025年陕西省中华秋沙鸭、大鸨等越冬水鸟同步调查与监测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ZDGC-ZC-2501107</w:t>
      </w:r>
      <w:r>
        <w:br/>
      </w:r>
      <w:r>
        <w:br/>
      </w:r>
      <w:r>
        <w:br/>
      </w:r>
    </w:p>
    <w:p>
      <w:pPr>
        <w:pStyle w:val="null3"/>
        <w:jc w:val="center"/>
        <w:outlineLvl w:val="2"/>
      </w:pPr>
      <w:r>
        <w:rPr>
          <w:rFonts w:ascii="仿宋_GB2312" w:hAnsi="仿宋_GB2312" w:cs="仿宋_GB2312" w:eastAsia="仿宋_GB2312"/>
          <w:sz w:val="28"/>
          <w:b/>
        </w:rPr>
        <w:t>陕西省自然保护区与野生动植物管理站</w:t>
      </w:r>
    </w:p>
    <w:p>
      <w:pPr>
        <w:pStyle w:val="null3"/>
        <w:jc w:val="center"/>
        <w:outlineLvl w:val="2"/>
      </w:pPr>
      <w:r>
        <w:rPr>
          <w:rFonts w:ascii="仿宋_GB2312" w:hAnsi="仿宋_GB2312" w:cs="仿宋_GB2312" w:eastAsia="仿宋_GB2312"/>
          <w:sz w:val="28"/>
          <w:b/>
        </w:rPr>
        <w:t>陕西中达国创项目管理有限公司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陕西省自然保护区与野生动植物管理站</w:t>
      </w:r>
      <w:r>
        <w:rPr>
          <w:rFonts w:ascii="仿宋_GB2312" w:hAnsi="仿宋_GB2312" w:cs="仿宋_GB2312" w:eastAsia="仿宋_GB2312"/>
        </w:rPr>
        <w:t>委托，拟对</w:t>
      </w:r>
      <w:r>
        <w:rPr>
          <w:rFonts w:ascii="仿宋_GB2312" w:hAnsi="仿宋_GB2312" w:cs="仿宋_GB2312" w:eastAsia="仿宋_GB2312"/>
        </w:rPr>
        <w:t>2025年陕西省中华秋沙鸭、大鸨等越冬水鸟同步调查与监测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ZDGC-ZC-2501107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2025年陕西省中华秋沙鸭、大鸨等越冬水鸟同步调查与监测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调查与监测，掌握陕西越冬水鸟特别是中华秋沙鸭、大鸨等国家重点保护鸟类的种类、数量动态，弄清陕西越冬水鸟的越冬地点、变动情况以及受威胁状况，为我省越冬水鸟的保护监测提供依据，为构建陕西乃至中国迁徙鸟类保护体系提供科学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三选其一）</w:t>
      </w:r>
    </w:p>
    <w:p>
      <w:pPr>
        <w:pStyle w:val="null3"/>
      </w:pPr>
      <w:r>
        <w:rPr>
          <w:rFonts w:ascii="仿宋_GB2312" w:hAnsi="仿宋_GB2312" w:cs="仿宋_GB2312" w:eastAsia="仿宋_GB2312"/>
        </w:rPr>
        <w:t>3、税收缴纳证明：供应商提供开标前一年内任意一个月已缴纳的税收缴纳凭证或完税证明；依法免税单位的应提供相关文件证明。</w:t>
      </w:r>
    </w:p>
    <w:p>
      <w:pPr>
        <w:pStyle w:val="null3"/>
      </w:pPr>
      <w:r>
        <w:rPr>
          <w:rFonts w:ascii="仿宋_GB2312" w:hAnsi="仿宋_GB2312" w:cs="仿宋_GB2312" w:eastAsia="仿宋_GB2312"/>
        </w:rPr>
        <w:t>4、社会保障资金缴纳证明：供应商提供开标前一年内任意一个月已缴纳的社会保障资金缴存单据或社保机构开具的社会保险参保缴费情况证明；依法不需要缴纳社会保障资金的应提供相关文件证明。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信用记录：提供《供应商信用记录书面声明函》（按格式填写，提供原件）；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截图）</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8、法定代表人授权委托书：法定代表人参加投标的，须提供法人身份证明和本人身份证复印件；法定代表人授权他人参加投标的，须提供法定代表人授权委托书和被授权人身份证复印件。</w:t>
      </w:r>
    </w:p>
    <w:p>
      <w:pPr>
        <w:pStyle w:val="null3"/>
      </w:pPr>
      <w:r>
        <w:rPr>
          <w:rFonts w:ascii="仿宋_GB2312" w:hAnsi="仿宋_GB2312" w:cs="仿宋_GB2312" w:eastAsia="仿宋_GB2312"/>
        </w:rPr>
        <w:t>9、非联合体不分包投标声明：本项目不接受联合体响应，不允许分包。供应商提供《非联合体不分包投标声明》，视为独立响应，不分包。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陕西省自然保护区与野生动植物管理站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西安市西关正街233号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曹保家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88652292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陕西省西安市雁塔区朱雀大街南段15号明德盛荟2号楼616室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张尧、王凯、张凯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029-88661828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计委关于印发〈招标代理服务收费管理暂行办法〉的通知》（计价格〔2002〕1980号）、《国家发展和改革委员会办公厅关于招标代理服务收费有关问题的通知》（发改办价格〔2003〕857号）规定，具体金额将在结果公告中公布。成交供应商在领取成交通知书前一次性全额缴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陕西省自然保护区与野生动植物管理站</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陕西省自然保护区与野生动植物管理站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陕西省自然保护区与野生动植物管理站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陕西中达国创项目管理有限公司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依据招投标文件约定，邀请专家自行组织验收。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联系人：张尧、王凯、张凯、孟明</w:t>
      </w:r>
    </w:p>
    <w:p>
      <w:pPr>
        <w:pStyle w:val="null3"/>
      </w:pPr>
      <w:r>
        <w:rPr>
          <w:rFonts w:ascii="仿宋_GB2312" w:hAnsi="仿宋_GB2312" w:cs="仿宋_GB2312" w:eastAsia="仿宋_GB2312"/>
        </w:rPr>
        <w:t>联系电话：02988661828</w:t>
      </w:r>
    </w:p>
    <w:p>
      <w:pPr>
        <w:pStyle w:val="null3"/>
      </w:pPr>
      <w:r>
        <w:rPr>
          <w:rFonts w:ascii="仿宋_GB2312" w:hAnsi="仿宋_GB2312" w:cs="仿宋_GB2312" w:eastAsia="仿宋_GB2312"/>
        </w:rPr>
        <w:t>地址：陕西省西安市雁塔区朱雀大街南段15号明德盛荟2号楼616室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调查与监测，掌握陕西越冬水鸟特别是中华秋沙鸭、大鸨等国家重点保护鸟类的种类、数量动态，弄清陕西越冬水鸟的越冬地点、变动情况以及受威胁状况，为我省越冬水鸟的保护监测提供依据，为构建陕西乃至中国迁徙鸟类保护体系提供科学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2025年陕西省中华秋沙鸭、大鸨等越冬水鸟同步调查与监测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标的名称：2025年陕西省中华秋沙鸭、大鸨等越冬水鸟同步调查与监测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一般参数</w:t>
            </w:r>
          </w:p>
        </w:tc>
        <w:tc>
          <w:tcPr>
            <w:tcW w:type="dxa" w:w="2076"/>
          </w:tcPr>
          <w:p>
            <w:pPr>
              <w:pStyle w:val="null3"/>
              <w:jc w:val="both"/>
            </w:pPr>
            <w:r>
              <w:rPr>
                <w:rFonts w:ascii="仿宋_GB2312" w:hAnsi="仿宋_GB2312" w:cs="仿宋_GB2312" w:eastAsia="仿宋_GB2312"/>
                <w:sz w:val="20"/>
              </w:rPr>
              <w:t>1、本次调查与监测涉及范围及内容。</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范围：共覆盖陕西省所有水系和山系，主要水系包括黄河干流（特别是韩城以南）及其各大支流包括无定河、渭河、延河、北洛河、南洛河等；长江水系包括汉江、嘉陵江和丹江干流及主要支流流域。共设置26个监测单元和59个观测分区，预设71条调查样线。</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2）内容：</w:t>
            </w:r>
          </w:p>
          <w:p>
            <w:pPr>
              <w:pStyle w:val="null3"/>
              <w:jc w:val="both"/>
            </w:pPr>
            <w:r>
              <w:rPr>
                <w:rFonts w:ascii="仿宋_GB2312" w:hAnsi="仿宋_GB2312" w:cs="仿宋_GB2312" w:eastAsia="仿宋_GB2312"/>
                <w:sz w:val="20"/>
              </w:rPr>
              <w:t>① 越冬水鸟种类和分布状况调查：记录所有发现种类及其分布地点（经纬度、海拔、地理调查单元、栖息地类型等）；</w:t>
            </w:r>
          </w:p>
          <w:p>
            <w:pPr>
              <w:pStyle w:val="null3"/>
              <w:jc w:val="both"/>
            </w:pPr>
            <w:r>
              <w:rPr>
                <w:rFonts w:ascii="仿宋_GB2312" w:hAnsi="仿宋_GB2312" w:cs="仿宋_GB2312" w:eastAsia="仿宋_GB2312"/>
                <w:sz w:val="20"/>
              </w:rPr>
              <w:t>② 种群数量调查：记录所有发现种类的数量（成体、亚成体和当年幼鸟）；</w:t>
            </w:r>
          </w:p>
          <w:p>
            <w:pPr>
              <w:pStyle w:val="null3"/>
              <w:jc w:val="both"/>
            </w:pPr>
            <w:r>
              <w:rPr>
                <w:rFonts w:ascii="仿宋_GB2312" w:hAnsi="仿宋_GB2312" w:cs="仿宋_GB2312" w:eastAsia="仿宋_GB2312"/>
                <w:sz w:val="20"/>
              </w:rPr>
              <w:t>③ 栖息地状况调查：在进行种群数量调查的同时记录水鸟的栖息地类型。</w:t>
            </w:r>
          </w:p>
          <w:p>
            <w:pPr>
              <w:pStyle w:val="null3"/>
              <w:jc w:val="both"/>
            </w:pPr>
            <w:r>
              <w:rPr>
                <w:rFonts w:ascii="仿宋_GB2312" w:hAnsi="仿宋_GB2312" w:cs="仿宋_GB2312" w:eastAsia="仿宋_GB2312"/>
                <w:sz w:val="20"/>
              </w:rPr>
              <w:t>④ 受威胁状况调查：记录水鸟所在栖息地的受威胁因素及强度。</w:t>
            </w:r>
          </w:p>
          <w:p>
            <w:pPr>
              <w:pStyle w:val="null3"/>
              <w:jc w:val="both"/>
            </w:pPr>
            <w:r>
              <w:rPr>
                <w:rFonts w:ascii="仿宋_GB2312" w:hAnsi="仿宋_GB2312" w:cs="仿宋_GB2312" w:eastAsia="仿宋_GB2312"/>
                <w:sz w:val="20"/>
              </w:rPr>
              <w:t>⑤ 保护现状调查：通过查询资料、访问等方法确定每个调查地点归属的保护机构，包括自然保护区、国际、国家和省级重要湿地、湿地公园等。</w:t>
            </w:r>
          </w:p>
          <w:p>
            <w:pPr>
              <w:pStyle w:val="null3"/>
              <w:jc w:val="both"/>
            </w:pPr>
            <w:r>
              <w:rPr>
                <w:rFonts w:ascii="仿宋_GB2312" w:hAnsi="仿宋_GB2312" w:cs="仿宋_GB2312" w:eastAsia="仿宋_GB2312"/>
                <w:sz w:val="20"/>
              </w:rPr>
              <w:t>2、提交调查结果：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1）《2025年陕西省中华秋沙鸭、大鸨等越冬水鸟同步调查与监测报告》；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2）2025年陕西省中华秋沙鸭、大鸨等越冬水鸟同步调查与监测数据集包括纸质记录表格、APP 导出的 shp 矢量数据和影像资料等；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3）照片、视频等相关资料等。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依据招投标文件约定，邀请专家自行组织验收。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完成任务80%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根据《工业和信息化部、国家统计局、国家发展和改革委员会、财政部关于印发中小企业划型标准规定的通知》《工信部联企业(2011)300号)规定的划型标准：从业人员300人以下的为中小微型企业。其中，从业人员100人及以上的为中型企业;从业人员10人及以上的为小型企业;从业人员10人以下的为微型企业。 2、中标/成交供应商在中标结果发布后3个工作日内，需提交与电子化平台提交内容一致的签字盖章后的纸质版投标文件，正本壹份、副本壹份，纸质响应文件标明供应商名称。若线上电子投标文件与纸质投标文件不一致的，以线上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三选其一）</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供应商提供开标前一年内任意一个月已缴纳的税收缴纳凭证或完税证明；依法免税单位的应提供相关文件证明。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供应商提供开标前一年内任意一个月已缴纳的社会保障资金缴存单据或社保机构开具的社会保险参保缴费情况证明；依法不需要缴纳社会保障资金的应提供相关文件证明。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法定代表人参加投标的，须提供法人身份证明和本人身份证复印件；法定代表人授权他人参加投标的，须提供法定代表人授权委托书和被授权人身份证复印件。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供应商应按磋商文件要求对响应文件进行电子签章。</w:t>
            </w:r>
          </w:p>
        </w:tc>
        <w:tc>
          <w:tcPr>
            <w:tcW w:type="dxa" w:w="1661"/>
          </w:tcPr>
          <w:p>
            <w:pPr>
              <w:pStyle w:val="null3"/>
            </w:pPr>
            <w:r>
              <w:rPr>
                <w:rFonts w:ascii="仿宋_GB2312" w:hAnsi="仿宋_GB2312" w:cs="仿宋_GB2312" w:eastAsia="仿宋_GB2312"/>
              </w:rPr>
              <w:t>业绩.docx 保障措施及计划进度.docx 中小企业声明函 报价表 商务应答表.docx 项目背景理解.docx 合理化建议.docx 响应文件封面 人员配置.docx 供应商应提交的相关资格证明材料.docx 培训计划.docx 质量控制.docx 残疾人福利性单位声明函 标的清单 服务内容及服务要求应答表.docx 工作流程.docx 实施方案.docx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（1）磋商报价符合唯一性要求；（2）未超出采购预算或竞争性磋商文件规定的最高限价；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实质性响应了竞争性磋商文件要求；响应文件中没有含采购人不能接受的附加条件或其他情形。</w:t>
            </w:r>
          </w:p>
        </w:tc>
        <w:tc>
          <w:tcPr>
            <w:tcW w:type="dxa" w:w="1661"/>
          </w:tcPr>
          <w:p>
            <w:pPr>
              <w:pStyle w:val="null3"/>
            </w:pPr>
            <w:r>
              <w:rPr>
                <w:rFonts w:ascii="仿宋_GB2312" w:hAnsi="仿宋_GB2312" w:cs="仿宋_GB2312" w:eastAsia="仿宋_GB2312"/>
              </w:rPr>
              <w:t>服务内容及服务要求应答表.docx 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项目背景理解</w:t>
            </w:r>
          </w:p>
        </w:tc>
        <w:tc>
          <w:tcPr>
            <w:tcW w:type="dxa" w:w="2492"/>
          </w:tcPr>
          <w:p>
            <w:pPr>
              <w:pStyle w:val="null3"/>
            </w:pPr>
            <w:r>
              <w:rPr>
                <w:rFonts w:ascii="仿宋_GB2312" w:hAnsi="仿宋_GB2312" w:cs="仿宋_GB2312" w:eastAsia="仿宋_GB2312"/>
              </w:rPr>
              <w:t>投标人对项目背景理解全面、深刻，描述清晰，计8分；针对本项目背景理解较为全面，较为深刻，描述基本清晰计6分；针对本项目背景理解一般、不够全面深刻还需完善计4分； 针对本项目背景理解内容空洞、笼统、完全套用计2分；未提供不计分。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项目背景理解.docx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针对本项目服务方案逻辑清晰、方法科学、合理可行；关键技术方法归纳总结到位、条理清楚、符合报告编制工作的要求和特点计10分；方案逻辑较清晰，方法较科学较为合理可行，关键技术总结较为到位，较为符合规划报告编制工作的要求和特点计7.5分；方案逻辑性不强，关键技术总结一般，还需完善，基本能符合报告编制工作的要求和特点计5分；方案内容空洞、笼统，不符合项目需求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投标人针对本项目提供详细工作流程。工作流程设计合理、高效可行、针对性强计10分；工作流程设计较为合理、较为高效可行、针对性较强计7.5分；有工作流程，但欠缺针对性计5分；工作流程内容空洞、笼统，难以符合项目实施要求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工作流程.docx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项目组织实施方案。实施方案内容全面，分工明确，符合实际情况、具体可行，可操作性强计10分；实施方案内容较为全面，分工较明确，较为符合实际情况、可操作性较强计7.5分；实施方案内容一般，分工基本明确，可操作性稍有欠缺计5分；实施方案内容笼统，分工混乱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保障措施及计划进度</w:t>
            </w:r>
          </w:p>
        </w:tc>
        <w:tc>
          <w:tcPr>
            <w:tcW w:type="dxa" w:w="2492"/>
          </w:tcPr>
          <w:p>
            <w:pPr>
              <w:pStyle w:val="null3"/>
            </w:pPr>
            <w:r>
              <w:rPr>
                <w:rFonts w:ascii="仿宋_GB2312" w:hAnsi="仿宋_GB2312" w:cs="仿宋_GB2312" w:eastAsia="仿宋_GB2312"/>
              </w:rPr>
              <w:t>投标人针对本项目提供各项保障措施及计划进度安排。保障措施及计划进度安排全面、可行，合理，能够保障项目顺利实施计10分；保障措施及计划进度安排较为全面、较为可行，较为合理，基本符合项目实施要求计7.5分；保障措施及计划进度安排不够全面、合理可行性稍有欠缺，计5分；内容空洞，合理可行性差，难以保障项目实施计2.5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保障措施及计划进度.docx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投标人针对本项目提供质量控制体系。质量控制体系完善、合理、可行、能够保障项目顺利实施计8分；质量控制体系较为完善、较为合理可行、较能保障项目顺利实施计6分；质量控制体系一般、合理可行性稍有欠缺计4分；内容空洞，合理可行性差，难以保障项目实施计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本次拟派项目负责人及团队人员应具有丰富的相关工作经验。提供动物学、生态学、林学等相关专业高级职称4人以上，每提供1人得2分，满分8分；提供动物学、生态学、林学等相关专业中级职称4人以上，每提供1人得1分，满分4分； 说明：提供人员职称证书、身份证及单位连续三个月的社保缴纳证明或聘用合同。</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供应商提供2020年1月至今（截止磋商时间前）已完成的野生动物调查监测类的类似业绩。以提供合同复印件为准。每提供一份合同得1分，满分10分。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针对本项目提供有益于本项目在技术、质量、进度或管理等方面进行改进的建议措施。建议措施必要性强、可行性高计6分；建议措施有一定必要性、较有可行性，计4分；建议措施内容简单，空洞、无必要性、无可行性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投标人针对参加本次调查与监测项目的技术人员及基层配合人员进行统一技术、安全等培训。培训内容全面、合理，培训计划组织有力，计6分；培训内容较为全面合理，培训计划组织较为有力计4分；培训内容较简单空泛、无实质性内容、有欠缺，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其中：Pmin：合格投标人投标报价中的最低价。 Pn：第n个投标人的投标报价。 计算分数时四舍五入取小数点后两位。 符合招标文件规定的小微企业给予10％的价格扣除，监狱企业、福利性单位视同小微企业，用扣除后的价格参与评审。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详见附件：项目背景理解.docx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详见附件：工作流程.docx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详见附件：保障措施及计划进度.docx</w:t>
      </w:r>
    </w:p>
    <w:p>
      <w:pPr>
        <w:pStyle w:val="null3"/>
        <w:ind w:firstLine="960"/>
      </w:pPr>
      <w:r>
        <w:rPr>
          <w:rFonts w:ascii="仿宋_GB2312" w:hAnsi="仿宋_GB2312" w:cs="仿宋_GB2312" w:eastAsia="仿宋_GB2312"/>
        </w:rPr>
        <w:t>详见附件：质量控制.docx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详见附件：培训计划.docx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