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版本号：LZBA2025-35320250417001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场馆设备更新及配套工程监理服务项目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LZBA2025-353</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场馆设备更新及配套工程监理服务项目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LZBA2025-353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场馆设备更新及配套工程监理服务项目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历史博物馆场馆设备更新项目及其施工工程主要包括：博物馆空调系统、文物存储设施、设备更新的配套工程、馆区“三年攻坚行动”消防整改工程、文物展柜更新项目。本次采购内容为陕西历史博物馆场馆设备更新及配套工程监理服务，同时承担相关协调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采购包1（场馆设备更新及配套工程监理服务项目）：属于专门面向中小企业采购。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1、资质证书：供应商具备建设行政主管部门颁发的工程监理综合资质或房屋建筑工程专业监理甲级资质。供应商需在项目电子化交易系统中按要求上传相应证明文件并进行电子签章。</w:t>
      </w:r>
    </w:p>
    <w:p>
      <w:pPr>
        <w:pStyle w:val="null3"/>
      </w:pPr>
      <w:r>
        <w:rPr>
          <w:rFonts w:ascii="仿宋_GB2312" w:hAnsi="仿宋_GB2312" w:cs="仿宋_GB2312" w:eastAsia="仿宋_GB2312"/>
        </w:rPr>
        <w:t>2、总监理工程师：拟派总监理工程师须具备房屋建筑工程专业国家注册监理工程师执业资格，在本单位注册，且未同时担任其他项目总监理工程师，无不良信用记录（提供未同时担任其他项目总监理工程师，无不良信用记录承诺书，格式自拟）。供应商需在项目电子化交易系统中按要求上传相应证明文件并进行电子签章。</w:t>
      </w:r>
    </w:p>
    <w:p>
      <w:pPr>
        <w:pStyle w:val="null3"/>
      </w:pPr>
      <w:r>
        <w:rPr>
          <w:rFonts w:ascii="仿宋_GB2312" w:hAnsi="仿宋_GB2312" w:cs="仿宋_GB2312" w:eastAsia="仿宋_GB2312"/>
        </w:rPr>
        <w:t>3、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磋商当日通过“信用中国”网(www.creditchina.gov.cn)、中国政府采购网(www.ccgp.gov.cn)查询相关主体信用记录网页截图保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杨楠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银行账号：30201278016376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收取。2、代理服务费可以采取现金、支票、银行汇票、电汇、网银等方式缴纳。3、代理服务费缴纳信息：开户名称：龙寰项目管理咨询有限公司 开户行名称：平安银行西安高新路支行 账号：30201278016376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1、由采购人组织或委托相关部门服务期间进行现场巡检、验收。2、验收依据：（1）合同文本、成交供应商的响应文件和竞争性磋商文件；（2）国内相应的标准、规范。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联系人：杨楠</w:t>
      </w:r>
    </w:p>
    <w:p>
      <w:pPr>
        <w:pStyle w:val="null3"/>
      </w:pPr>
      <w:r>
        <w:rPr>
          <w:rFonts w:ascii="仿宋_GB2312" w:hAnsi="仿宋_GB2312" w:cs="仿宋_GB2312" w:eastAsia="仿宋_GB2312"/>
        </w:rPr>
        <w:t>联系电话：029-88228899-615</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历史博物馆场馆设备更新项目及其施工工程主要包括：博物馆空调系统、文物存储设施、设备更新的配套工程、馆区“三年攻坚行动”消防整改工程、文物展柜更新项目5部分内容。空调系统主要包括温湿度独立控制机组（单冷）、冷却塔机组、变风量新风及其净化机组、恒温恒湿机组、更新库房调湿板、多联机机组、空调末端设备（现有燃气锅炉热源不更换，其与单冷制冷机组共用末端设备）、分体机空调机组、机械通风设备。文物储存设施主要包括更换文物密集存储柜及配套信息管理设备、无酸囊匣。设备更新配套工程包括配套设备设施的拆除安装、配套的水、电、风管线拆除更新，配电室改造、土建改造加固等配套材料及施工工程。馆区“三年攻坚行动”消防整改工程包括需核实防火分区划分情况；第5展厅配电室门、墙体不符合耐火要求；1、2、3展厅排烟管道损坏；序厅无排烟设施；国宝厅无喷淋、无排烟；D1段负一层商品库房无消防设施、安全出口数量不足。 本次采购内容为陕西历史博物馆场馆设备更新及配套工程监理服务，同时承担相关协调工作。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标的名称：工程监理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50"/>
              <w:ind w:firstLine="561"/>
              <w:jc w:val="left"/>
            </w:pPr>
            <w:r>
              <w:rPr>
                <w:rFonts w:ascii="仿宋_GB2312" w:hAnsi="仿宋_GB2312" w:cs="仿宋_GB2312" w:eastAsia="仿宋_GB2312"/>
                <w:sz w:val="20"/>
                <w:color w:val="000000"/>
              </w:rPr>
              <w:t>一、</w:t>
            </w:r>
            <w:r>
              <w:rPr>
                <w:rFonts w:ascii="仿宋_GB2312" w:hAnsi="仿宋_GB2312" w:cs="仿宋_GB2312" w:eastAsia="仿宋_GB2312"/>
                <w:sz w:val="20"/>
                <w:b/>
                <w:color w:val="000000"/>
              </w:rPr>
              <w:t>项目概况</w:t>
            </w:r>
          </w:p>
          <w:p>
            <w:pPr>
              <w:pStyle w:val="null3"/>
              <w:ind w:firstLine="400"/>
            </w:pPr>
            <w:r>
              <w:rPr>
                <w:rFonts w:ascii="仿宋_GB2312" w:hAnsi="仿宋_GB2312" w:cs="仿宋_GB2312" w:eastAsia="仿宋_GB2312"/>
              </w:rPr>
              <w:t>陕西历史博物馆场馆设备更新项目及其施工工程主要包括：博物馆空调系统、文物存储设施、设备更新的配套工程、馆区</w:t>
            </w:r>
            <w:r>
              <w:rPr>
                <w:rFonts w:ascii="仿宋_GB2312" w:hAnsi="仿宋_GB2312" w:cs="仿宋_GB2312" w:eastAsia="仿宋_GB2312"/>
              </w:rPr>
              <w:t>“三年攻坚行动”消防整改工程、文物展柜更新项目</w:t>
            </w:r>
            <w:r>
              <w:rPr>
                <w:rFonts w:ascii="仿宋_GB2312" w:hAnsi="仿宋_GB2312" w:cs="仿宋_GB2312" w:eastAsia="仿宋_GB2312"/>
              </w:rPr>
              <w:t>5</w:t>
            </w:r>
            <w:r>
              <w:rPr>
                <w:rFonts w:ascii="仿宋_GB2312" w:hAnsi="仿宋_GB2312" w:cs="仿宋_GB2312" w:eastAsia="仿宋_GB2312"/>
              </w:rPr>
              <w:t>部分内容</w:t>
            </w:r>
            <w:r>
              <w:rPr>
                <w:rFonts w:ascii="仿宋_GB2312" w:hAnsi="仿宋_GB2312" w:cs="仿宋_GB2312" w:eastAsia="仿宋_GB2312"/>
              </w:rPr>
              <w:t>。空调系统主要包括温湿度独立控制机组（单冷）、冷却塔机组、变风量新风及其净化机组、恒温恒湿机组、更新库房调湿板、多联机机组、空调末端设备（现有燃气锅炉热源不更换，其与单冷制冷机组共用末端设备）、分体机空调机组、机械通风设备。文物储存设施主要包括更换文物密集存储柜及配套信息管理设备、无酸囊匣。设备更新配套工程包括配套设备设施的拆除安装、配套的水、电、风管线拆除更新，配电室改造、土建改造加固等配套材料及施工工程。馆区</w:t>
            </w:r>
            <w:r>
              <w:rPr>
                <w:rFonts w:ascii="仿宋_GB2312" w:hAnsi="仿宋_GB2312" w:cs="仿宋_GB2312" w:eastAsia="仿宋_GB2312"/>
              </w:rPr>
              <w:t>“三年攻坚行动”消防整改工程包括需核实防火分区划分情况；第5展厅配电室门、墙体不符合耐火要求；1、2、3展厅排烟管道损坏；序厅无排烟设施；国宝厅无喷淋、无排烟；D1段负一层商品库房无消防设施、安全出口数量不足。</w:t>
            </w:r>
          </w:p>
          <w:p>
            <w:pPr>
              <w:pStyle w:val="null3"/>
              <w:ind w:firstLine="400"/>
            </w:pPr>
            <w:r>
              <w:rPr>
                <w:rFonts w:ascii="仿宋_GB2312" w:hAnsi="仿宋_GB2312" w:cs="仿宋_GB2312" w:eastAsia="仿宋_GB2312"/>
              </w:rPr>
              <w:t>本次</w:t>
            </w:r>
            <w:r>
              <w:rPr>
                <w:rFonts w:ascii="仿宋_GB2312" w:hAnsi="仿宋_GB2312" w:cs="仿宋_GB2312" w:eastAsia="仿宋_GB2312"/>
              </w:rPr>
              <w:t>采购内容</w:t>
            </w:r>
            <w:r>
              <w:rPr>
                <w:rFonts w:ascii="仿宋_GB2312" w:hAnsi="仿宋_GB2312" w:cs="仿宋_GB2312" w:eastAsia="仿宋_GB2312"/>
              </w:rPr>
              <w:t>为陕西历史博物馆场馆设备更新及配套工程监理服务，同时承担相关协调工作。</w:t>
            </w:r>
          </w:p>
          <w:p>
            <w:pPr>
              <w:pStyle w:val="null3"/>
              <w:ind w:firstLine="402"/>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服务要求</w:t>
            </w:r>
          </w:p>
          <w:p>
            <w:pPr>
              <w:pStyle w:val="null3"/>
              <w:ind w:firstLine="400"/>
              <w:jc w:val="left"/>
            </w:pPr>
            <w:r>
              <w:rPr>
                <w:rFonts w:ascii="仿宋_GB2312" w:hAnsi="仿宋_GB2312" w:cs="仿宋_GB2312" w:eastAsia="仿宋_GB2312"/>
                <w:sz w:val="20"/>
                <w:color w:val="000000"/>
              </w:rPr>
              <w:t>1、监理团队人员要求</w:t>
            </w:r>
          </w:p>
          <w:p>
            <w:pPr>
              <w:pStyle w:val="null3"/>
              <w:ind w:firstLine="400"/>
              <w:jc w:val="left"/>
            </w:pPr>
            <w:r>
              <w:rPr>
                <w:rFonts w:ascii="仿宋_GB2312" w:hAnsi="仿宋_GB2312" w:cs="仿宋_GB2312" w:eastAsia="仿宋_GB2312"/>
                <w:sz w:val="20"/>
                <w:color w:val="000000"/>
              </w:rPr>
              <w:t>监理人员数量：总监理工程师</w:t>
            </w:r>
            <w:r>
              <w:rPr>
                <w:rFonts w:ascii="仿宋_GB2312" w:hAnsi="仿宋_GB2312" w:cs="仿宋_GB2312" w:eastAsia="仿宋_GB2312"/>
                <w:sz w:val="20"/>
                <w:color w:val="000000"/>
              </w:rPr>
              <w:t>1名，</w:t>
            </w:r>
            <w:r>
              <w:rPr>
                <w:rFonts w:ascii="仿宋_GB2312" w:hAnsi="仿宋_GB2312" w:cs="仿宋_GB2312" w:eastAsia="仿宋_GB2312"/>
              </w:rPr>
              <w:t>房屋建筑工程专业注册监理工程师最少</w:t>
            </w:r>
            <w:r>
              <w:rPr>
                <w:rFonts w:ascii="仿宋_GB2312" w:hAnsi="仿宋_GB2312" w:cs="仿宋_GB2312" w:eastAsia="仿宋_GB2312"/>
              </w:rPr>
              <w:t>2人，机电安装工程专业注册监理工程师最少2人</w:t>
            </w:r>
            <w:r>
              <w:rPr>
                <w:rFonts w:ascii="仿宋_GB2312" w:hAnsi="仿宋_GB2312" w:cs="仿宋_GB2312" w:eastAsia="仿宋_GB2312"/>
                <w:sz w:val="20"/>
                <w:color w:val="000000"/>
              </w:rPr>
              <w:t>，资料员</w:t>
            </w:r>
            <w:r>
              <w:rPr>
                <w:rFonts w:ascii="仿宋_GB2312" w:hAnsi="仿宋_GB2312" w:cs="仿宋_GB2312" w:eastAsia="仿宋_GB2312"/>
                <w:sz w:val="20"/>
                <w:color w:val="000000"/>
              </w:rPr>
              <w:t>1名。</w:t>
            </w:r>
          </w:p>
          <w:p>
            <w:pPr>
              <w:pStyle w:val="null3"/>
              <w:ind w:firstLine="400"/>
              <w:jc w:val="left"/>
            </w:pPr>
            <w:r>
              <w:rPr>
                <w:rFonts w:ascii="仿宋_GB2312" w:hAnsi="仿宋_GB2312" w:cs="仿宋_GB2312" w:eastAsia="仿宋_GB2312"/>
                <w:sz w:val="20"/>
                <w:color w:val="000000"/>
              </w:rPr>
              <w:t>2、管理要求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1）制定和遵守相应的监理工作制度、监理工作流程，包括开工报审制度、方案报审制度、监理会议制度、监理文档管理制度、监理报告制度等，保证监理工作协调有序的进行。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监理单位须按照合同约定相应阶段的监理程序及监理规划、工作细则实施监理工作，对工程质量、工期和工程造价进行有效控制，做好合同、信息管理及协调建设过程中出现的各种矛盾和问题。保修阶段监理包括检查和记录工程质量缺陷，对缺陷原因进行调查分析并确定责任归属，审核修复方案，监督修复过程并验收，审核修复费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监理单位对工程项目的质量控制、进度控制、造价费用控制、安全生产及文明工地建设、治污减霾管控、合同管理、信息管理、工程资料管理、变更审查、材料计划审批、进场材料检查验收等方面进行全过程监理，并协调在施工场地或附近实施与工程有关的各项工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4）监理单位要负责对施工图纸、变更等文件进行检查复核，查漏补缺，发现问题要及时沟通并告知建设单位。</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5）监理人作为监控工程建设质量的关键机构，其在实施监理工作时，要严格认真履行监理职责。在验收中，严格执行《工程建设标准强制性条文》、工程施工验收规范、设计要求及委托人的要求。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6）对于重点部位和关键工序，监理方应进行旁站监理并做好相关记录，确保工程施工质量和安全。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7）根据项目进度、难易程度、合同期、现场条件等因素，按照国家及行业规定，足额配备本项目所需的仪器和设备。</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8）审批各段分部工程开工报告，检查核实施工单位所报人员、机械设备、材料和试验，审查分部工程的施工方案和施工计划的可行性，确保工程质量和施工安全。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检查督促各施工单位按设计图施工，现场作业的机械设备和进场的材料应符合相关标准的规定，检查落实施工单位持证上岗的人员，落实各工序的施工工艺。如发现有安全因素时，有责任提醒施工单位注意，必要时可以书面通知施工单位。</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10）监理人在工程施工管理过程中要承担建设工程成本控制的责任，严把签证关，并在合适的条件下，对设计变更提出合理可行的建设性建议，节约成本。</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11）监理资料的整理必须与工程形象进度同步，禁止事后补办资料，监理有义务督促施工单位办理资料。原始数据的来源应有记录，应在监理日志上明确记录当日办理资料的详细情况。</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12）在项目实施过程中，组织检查、评比，对监理的合同履约、规范执行、现场质量、旁站与工序检查认可。</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13）工程各单体工程项目全过程的监理工作，委托人有权依据施工现场情况和监理人的工作情况调整监理人所负责的单体工程。</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14）因项目工期紧迫，监理人必须充分考虑24小时轮班作业，高温作业情况，作业内容及要求按照委托人要求，不得以此向委托人申要额外费用。项目总监每月在现场时间不得少于26日。</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15）项目监理部的组成人员标准应等同于或高于响应文件承诺，未经采购人代表书面同意不得以任何借口撤换监理部工作人员。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16）监理人的定岗人员经采购人审核通过后，应在工程建设期间保持监理机构人员的稳定性，监理人未经委托人代表书面同意不得以任何借口更换投标资料中的总监或监理机构的人员组成，如事实发生，以违约论处，采购人保留终止合同，追究违约方相关责任及索赔的权力。</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17）采购范围内所有工程竣工验收前，项目监理部的人员编制不得随意减少。</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18）监理人应自行调整作息时间，做到“现场有人施工，就有人监理”，而且专业要配置合理。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19）监理人要积极配合采购人，按照采购人要求对该项目进行竣工验收、验收移交，在项目未正式移交前，监理人应履行监理职责。</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20）本工程监理文件包括监理管理文件、质量监理文件、安全监理文件、环保监理文件、费用与进度监理文件、合同事项管理文件，以及监理日志、巡视记录、旁站记录、监理月报、监理工作报告等其他监理文件和影像资料，具体类别、编制要求、编制内容、提交时间和份数等应满足相关法律法规的规定。</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21）监理人及其监理人员不得转让监理业务。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供应商须在设备方面具备履行合同所必需的专业技术能力。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供应商须在资金方面具备履行合同所必需的专业技术能力。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本项目服务期自监理合同签订之日起，至项目最终验收合格之日止。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陕西历史博物馆（西安市雁塔区小寨东路91号）。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1、由采购人组织或委托相关部门服务期间进行现场巡检、验收。2、验收依据：（1）合同文本、成交供应商的响应文件和竞争性磋商文件；（2）国内相应的标准、规范。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项目竣工后，达到付款条件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待工程验收合格出具验收证书，并完成工程竣工结算后，达到付款条件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1.成交供应商领取成交通知书时须线下提交纸质响应文件壹套，纸质响应文件应与电子响应文件保持一致。递交文件地点：西安市太白南路181号西部电子社区A座A区501室招标一部。 2.需要落实的政府采购政策：2.1《国务院办公厅关于建立政府强制采购节能产品制度的通知》（国办发〔2007〕51号）；2.2《财政部司法部关于政府采购支持监狱企业发展有关问题的通知》（财库〔2014〕68号）；2.3《财政部、民政部、中国残疾人联合会关于促进残疾人就业政府采购政策的通知》（财库〔2017〕141号）；2.4《财政部发展改革委生态环境部市场监管总局关于调整优化节能产品、环境标志产品政府采购执行机制的通知》（财库〔2019〕9号）；2.5《关于运用政府采购政策支持乡村产业振兴的通知》（财库〔2021〕19号）；2.6《政府采购促进中小企业发展管理办法》（财库〔2020〕46号）；2.7陕西省财政厅关于印发《陕西省中小企业政府采购信用融资办法》（陕财办采〔2018〕23号）；2.8《关于进一步加大政府采购支持中小企业力度的通知》（财库〔2022〕19号）；2.9《关于扩大政府采购支持绿色建材促进建筑品质提升政策实施范围的通知》（财库〔2022〕35号）。 3.本项目对应的中小企业划分标准所属行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（1）供应商具有独立承担民事责任能力的法人、其他组织或自然人，提供供应商的营业执照等证明文件，自然人的身份证明等扫描件。 （2）供应商提供2023年度经审计的财务报告，或响应文件提交截止时间前六个月内基本存款账户开户银行出具的资信证明及基本存款账户开户许可证（或基本存款账户信息相关证明文件）；或信用担保机构出具的投标担保函。 （3）2024年3月以来任意一个月纳税证明或完税证明，纳税证明或完税证明上应有代收机构或税务机关的公章或业务专用章；依法免税或无须缴纳税收的供应商应提供相应文件证明。 （4）2024年3月以来任意一个月的社会保障资金缴存单据或社保机构开具的社会保险参保缴费情况证明，单据或证明上应有社保机构或代收机构的公章或业务专用章；依法不需要缴纳社会保障资金的供应商应提供相应证明文件。 （5）供应商提供具备履行合同所必需的设备和专业技术能力的承诺。 （6）参加政府采购活动前3年内在经营活动中没有重大违法记录的书面声明。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供应商具备建设行政主管部门颁发的工程监理综合资质或房屋建筑工程专业监理甲级资质。供应商需在项目电子化交易系统中按要求上传相应证明文件并进行电子签章。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总监理工程师</w:t>
            </w:r>
          </w:p>
        </w:tc>
        <w:tc>
          <w:tcPr>
            <w:tcW w:type="dxa" w:w="3322"/>
          </w:tcPr>
          <w:p>
            <w:pPr>
              <w:pStyle w:val="null3"/>
            </w:pPr>
            <w:r>
              <w:rPr>
                <w:rFonts w:ascii="仿宋_GB2312" w:hAnsi="仿宋_GB2312" w:cs="仿宋_GB2312" w:eastAsia="仿宋_GB2312"/>
              </w:rPr>
              <w:t>拟派总监理工程师须具备房屋建筑工程专业国家注册监理工程师执业资格，在本单位注册，且未同时担任其他项目总监理工程师，无不良信用记录（提供未同时担任其他项目总监理工程师，无不良信用记录承诺书，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磋商当日通过“信用中国”网(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1、报价唯一；2、报价货币符合磋商文件要求；3、未超出磋商文件规定的采购预算或最高限价。</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合同条款偏离表 中小企业声明函 供应商应提交的相关资格证明材料 报价表 首次磋商报价表 响应文件封面 业绩的相关证明材料 法定代表人资格证明及授权书 政府采购供应商拒绝政府采购领域商业贿赂承诺书 技术方案响应说明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法定代表人资格证明及授权书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符合“第七章响应文件格式”的要求</w:t>
            </w:r>
          </w:p>
        </w:tc>
        <w:tc>
          <w:tcPr>
            <w:tcW w:type="dxa" w:w="1661"/>
          </w:tcPr>
          <w:p>
            <w:pPr>
              <w:pStyle w:val="null3"/>
            </w:pPr>
            <w:r>
              <w:rPr>
                <w:rFonts w:ascii="仿宋_GB2312" w:hAnsi="仿宋_GB2312" w:cs="仿宋_GB2312" w:eastAsia="仿宋_GB2312"/>
              </w:rPr>
              <w:t>合同条款偏离表 中小企业声明函 供应商应提交的相关资格证明材料 报价表 首次磋商报价表 响应文件封面 业绩的相关证明材料 法定代表人资格证明及授权书 政府采购供应商拒绝政府采购领域商业贿赂承诺书 技术方案响应说明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符合磋商文件对服务期限的要求</w:t>
            </w:r>
          </w:p>
        </w:tc>
        <w:tc>
          <w:tcPr>
            <w:tcW w:type="dxa" w:w="1661"/>
          </w:tcPr>
          <w:p>
            <w:pPr>
              <w:pStyle w:val="null3"/>
            </w:pPr>
            <w:r>
              <w:rPr>
                <w:rFonts w:ascii="仿宋_GB2312" w:hAnsi="仿宋_GB2312" w:cs="仿宋_GB2312" w:eastAsia="仿宋_GB2312"/>
              </w:rPr>
              <w:t>首次磋商报价表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监理团队人员配备</w:t>
            </w:r>
          </w:p>
        </w:tc>
        <w:tc>
          <w:tcPr>
            <w:tcW w:type="dxa" w:w="2492"/>
          </w:tcPr>
          <w:p>
            <w:pPr>
              <w:pStyle w:val="null3"/>
            </w:pPr>
            <w:r>
              <w:rPr>
                <w:rFonts w:ascii="仿宋_GB2312" w:hAnsi="仿宋_GB2312" w:cs="仿宋_GB2312" w:eastAsia="仿宋_GB2312"/>
              </w:rPr>
              <w:t>1、总监理工程师：具有中级及以上职称，得2分。供应商须提供职称证书扫描件，未提供不得分。 2、专业监理工程师：配备房屋建筑工程专业监理工程师最少2人，机电安装工程专业监理工程师最少2人，安全监理工程师1人，且以上人员有五年及以上工作经验，完全满足得5分，其他情况不得分。 3、其他人员：配备资料员至少1人，且具有三年及以上工作经验得3分。 注：以上人员须提供相关证明材料，专业以注册证书或培训证书专业为准，工作经验以毕业时间为准。总监理工程师还需提供本单位人员的证明材料，若为退休人员，需提供退休证明及与公司双方签署的劳务合同或返聘协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监理检测设备配置</w:t>
            </w:r>
          </w:p>
        </w:tc>
        <w:tc>
          <w:tcPr>
            <w:tcW w:type="dxa" w:w="2492"/>
          </w:tcPr>
          <w:p>
            <w:pPr>
              <w:pStyle w:val="null3"/>
            </w:pPr>
            <w:r>
              <w:rPr>
                <w:rFonts w:ascii="仿宋_GB2312" w:hAnsi="仿宋_GB2312" w:cs="仿宋_GB2312" w:eastAsia="仿宋_GB2312"/>
              </w:rPr>
              <w:t>针对本项目提供监理检测设备配置情况。 1、检测设备配置齐全、先进，响应文件中能够体现规格型号、制造年份等信息，完全满足工程检测要求的，得8分； 2、检测设备配置较齐全、先进，响应文件中能够体现规格型号、制造年份等信息，基本能满足工程检测要求的，得6分； 3、响应文件中能够体现检测设备的规格型号、制造年份等信息，检测设备配置基本齐全的，得4分； 4、响应文件中的检测设备信息不详细，较简单，检测设备配置不能完全满足工程检测要求的，得2分；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监理工作程序和工作制度</w:t>
            </w:r>
          </w:p>
        </w:tc>
        <w:tc>
          <w:tcPr>
            <w:tcW w:type="dxa" w:w="2492"/>
          </w:tcPr>
          <w:p>
            <w:pPr>
              <w:pStyle w:val="null3"/>
            </w:pPr>
            <w:r>
              <w:rPr>
                <w:rFonts w:ascii="仿宋_GB2312" w:hAnsi="仿宋_GB2312" w:cs="仿宋_GB2312" w:eastAsia="仿宋_GB2312"/>
              </w:rPr>
              <w:t>针对本项目提供监理工作程序和工作制度。 1、监理工作程序和工作制度具体可行、科学合理，有清晰的监理工作流程图、监理工作准则，且可操作性、针对性强的，得5分； 2、监理工作程序和工作制度较具体可行、科学合理，有监理工作流程图、监理工作准则，可操作性、针对性较强的，得3分； 3、监理工作程序和工作制度内容简单，可操作性或针对性一般的，得1分；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质量控制目标及措施</w:t>
            </w:r>
          </w:p>
        </w:tc>
        <w:tc>
          <w:tcPr>
            <w:tcW w:type="dxa" w:w="2492"/>
          </w:tcPr>
          <w:p>
            <w:pPr>
              <w:pStyle w:val="null3"/>
            </w:pPr>
            <w:r>
              <w:rPr>
                <w:rFonts w:ascii="仿宋_GB2312" w:hAnsi="仿宋_GB2312" w:cs="仿宋_GB2312" w:eastAsia="仿宋_GB2312"/>
              </w:rPr>
              <w:t>针对本项目制定明确的质量控制目标，提供具体可行的质量控制措施。 1、质量控制目标清晰、明确，质量控制措施科学合理、具体详细，贴近项目情况、针对性强的，得10分； 2、质量控制目标清晰、明确，质量控制措施较科学合理、具体详细，基本贴近项目情况、针对性较强的，得8分； 3、质量控制目标较清晰、明确，质量控制措施较科学合理、具体详细，基本贴近项目情况、针对性较强的，得6分； 4、质量控制目标及措施不完善，但基本贴近项目情况，有一定针对性的，得4分； 5、质量控制目标及措施不完善，提供内容简单有欠缺，或未贴合实际针对性不强的，得2分； 6、未提供的不得分。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进度控制目标及措施</w:t>
            </w:r>
          </w:p>
        </w:tc>
        <w:tc>
          <w:tcPr>
            <w:tcW w:type="dxa" w:w="2492"/>
          </w:tcPr>
          <w:p>
            <w:pPr>
              <w:pStyle w:val="null3"/>
            </w:pPr>
            <w:r>
              <w:rPr>
                <w:rFonts w:ascii="仿宋_GB2312" w:hAnsi="仿宋_GB2312" w:cs="仿宋_GB2312" w:eastAsia="仿宋_GB2312"/>
              </w:rPr>
              <w:t>针对本项目制定明确的进度控制目标，提供具体可行的进度控制措施，有工期优化和补救措施。 1、进度控制目标清晰、明确，进度控制措施科学合理、具体详细，贴近项目情况、针对性强的，得10分； 2、进度控制目标清晰、明确，进度控制措施较科学合理、具体详细，基本贴近项目情况、针对性强的，得8分； 3、进度控制目标较清晰、明确，进度控制措施较科学合理、具体详细，基本贴近项目情况、针对性较强的，得6分； 4、进度控制目标及措施不完善，但基本贴近项目情况，有一定针对性的，得4分； 5、进度控制目标及措施不完善，提供内容简单有欠缺，或未贴合实际针对性不强的，得2分；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投资控制目标及措施</w:t>
            </w:r>
          </w:p>
        </w:tc>
        <w:tc>
          <w:tcPr>
            <w:tcW w:type="dxa" w:w="2492"/>
          </w:tcPr>
          <w:p>
            <w:pPr>
              <w:pStyle w:val="null3"/>
            </w:pPr>
            <w:r>
              <w:rPr>
                <w:rFonts w:ascii="仿宋_GB2312" w:hAnsi="仿宋_GB2312" w:cs="仿宋_GB2312" w:eastAsia="仿宋_GB2312"/>
              </w:rPr>
              <w:t>针对本项目制定明确的投资控制目标，提供具体可行的投资控制措施，有造价风险分析和防索赔措施。 1、投资控制目标清晰、明确，投资控制措施科学合理、具体详细，贴近项目情况、针对性强的，得8分； 2、投资控制目标较清晰、明确，投资控制措施较科学合理、具体详细，基本贴近项目情况、针对性较强的，得6分； 3、投资控制目标及措施不完善，但基本贴近项目情况，有一定针对性的，得4分； 4、投资控制目标及措施内容简单有欠缺，或未贴合实际针对性不强的，得2分；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安全文明施工及治污减霾监督管理措施</w:t>
            </w:r>
          </w:p>
        </w:tc>
        <w:tc>
          <w:tcPr>
            <w:tcW w:type="dxa" w:w="2492"/>
          </w:tcPr>
          <w:p>
            <w:pPr>
              <w:pStyle w:val="null3"/>
            </w:pPr>
            <w:r>
              <w:rPr>
                <w:rFonts w:ascii="仿宋_GB2312" w:hAnsi="仿宋_GB2312" w:cs="仿宋_GB2312" w:eastAsia="仿宋_GB2312"/>
              </w:rPr>
              <w:t>针对本项目制定安全文明施工及治污减霾监督管理措施。 1、措施科学合理、具体详细，贴近项目情况、针对性强的，得8分； 2、措施较科学合理、具体详细，基本贴近项目情况、针对性较强的，得6分； 3、措施不完善，但基本贴近项目情况，有一定针对性的，得4分； 4、提供内容简单有欠缺，或未贴合实际针对性不强的，得2分；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合同管理、信息管理措施</w:t>
            </w:r>
          </w:p>
        </w:tc>
        <w:tc>
          <w:tcPr>
            <w:tcW w:type="dxa" w:w="2492"/>
          </w:tcPr>
          <w:p>
            <w:pPr>
              <w:pStyle w:val="null3"/>
            </w:pPr>
            <w:r>
              <w:rPr>
                <w:rFonts w:ascii="仿宋_GB2312" w:hAnsi="仿宋_GB2312" w:cs="仿宋_GB2312" w:eastAsia="仿宋_GB2312"/>
              </w:rPr>
              <w:t>针对本项目提供具体可行、科学合理的合同管理、信息管理措施。 1、合同和信息管理措施科学合理、具体详细，贴近项目情况、针对性强的，得7分； 2、合同和信息管理措施较科学合理、具体详细，基本贴近项目情况、针对性较强的，得5分； 3、合同和信息管理措施不完善，但基本贴近项目情况，有一定针对性的，得3分； 4、合同和信息管理措施不完善，提供内容简单有欠缺，或未贴合实际针对性不强的，得1分； 5、未提供或存在严重欠缺的不得分。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本工程难点部位的监理措施，重点部位的控制方法</w:t>
            </w:r>
          </w:p>
        </w:tc>
        <w:tc>
          <w:tcPr>
            <w:tcW w:type="dxa" w:w="2492"/>
          </w:tcPr>
          <w:p>
            <w:pPr>
              <w:pStyle w:val="null3"/>
            </w:pPr>
            <w:r>
              <w:rPr>
                <w:rFonts w:ascii="仿宋_GB2312" w:hAnsi="仿宋_GB2312" w:cs="仿宋_GB2312" w:eastAsia="仿宋_GB2312"/>
              </w:rPr>
              <w:t>针对本项目有具体可行的难点部位的监理措施，重点部位的控制方法。 1、措施内容、控制方法科学合理、重点突出，考虑周全、到位，贴近项目情况、针对性强的，得5分； 2、措施内容、控制方法较科学合理、重点较突出，考虑较周全、到位，基本贴近项目情况、针对性较强的，得3分； 3、措施内容、控制方法不完善，提供内容简单有欠缺，或未贴合实际针对性不强的，得1分； 4、未提供或存在严重欠缺的不得分。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施工中各种矛盾组织协调措施</w:t>
            </w:r>
          </w:p>
        </w:tc>
        <w:tc>
          <w:tcPr>
            <w:tcW w:type="dxa" w:w="2492"/>
          </w:tcPr>
          <w:p>
            <w:pPr>
              <w:pStyle w:val="null3"/>
            </w:pPr>
            <w:r>
              <w:rPr>
                <w:rFonts w:ascii="仿宋_GB2312" w:hAnsi="仿宋_GB2312" w:cs="仿宋_GB2312" w:eastAsia="仿宋_GB2312"/>
              </w:rPr>
              <w:t>针对本项目提供各种矛盾组织协调措施。 1、组织协调措施科学合理、重点突出、针对性强的，得5分； 2、组织协调措施较科学合理、重点较突出、针对性较强的，得3分； 3、组织协调措施内容简单有欠缺，或未贴合实际针对性不强的，得1分； 4、未提供或存在严重欠缺的不得分。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针对本项目有具体可行的合理化建议及增值服务</w:t>
            </w:r>
          </w:p>
        </w:tc>
        <w:tc>
          <w:tcPr>
            <w:tcW w:type="dxa" w:w="2492"/>
          </w:tcPr>
          <w:p>
            <w:pPr>
              <w:pStyle w:val="null3"/>
            </w:pPr>
            <w:r>
              <w:rPr>
                <w:rFonts w:ascii="仿宋_GB2312" w:hAnsi="仿宋_GB2312" w:cs="仿宋_GB2312" w:eastAsia="仿宋_GB2312"/>
              </w:rPr>
              <w:t>针对本项目提供合理化建议及增值服务。 1、合理化建议及增值服务合理可行且针对性强的，得5分； 2、合理化建议及增值服务较合理可行且针对性较强的，得3分； 3、合理化建议及增值服务简单有欠缺，或未贴合实际针对性不强的，得1分； 4、未提供或存在严重欠缺的不得分。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1、供应商承诺保证投入本项目的监理人员数量和技术能力，安排好足够的高素质总监理工程师、监理工程师及相关技术人员进行本项目的监理工作，项目建设过程中不得随意更换人员，并提供承诺函的计1分。 2、在项目建设期间派监理工程师全过程驻场进行监理作业，并提供承诺函的计1分。 3、供应商承诺监理人员不得以任何理由向承包人介绍分包单位或材料、设备供应商，不得以监理权向承包人索取任何合同规定以外的生活待遇和经济利益，不得与施工合同任何一方串通，损害另一方的利益，并提供承诺函的计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提供2022年3月至今（以合同签订时间为准）同类工程项目业绩，每提供一份得2分，满分6分。 注：响应文件中提供合同或合同关键页（必须含封面、内容、签订时间、盖章签字页等信息）的复印件或扫描件。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详见附件：法定代表人资格证明及授权书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详见附件：陕西历史博物馆场馆设备更新及配套工程监理服务项目监理合同.docx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