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版本号：SCZD2025-CS-0646--001R20250417001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“血液透析治疗中心”医疗服务采购项目(二次)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SCZD2025-CS-0646--001R</w:t>
      </w:r>
      <w:r>
        <w:br/>
      </w:r>
      <w:r>
        <w:br/>
      </w:r>
      <w:r>
        <w:br/>
      </w:r>
    </w:p>
    <w:p>
      <w:pPr>
        <w:pStyle w:val="null3"/>
        <w:jc w:val="center"/>
        <w:outlineLvl w:val="2"/>
      </w:pPr>
      <w:r>
        <w:rPr>
          <w:rFonts w:ascii="仿宋_GB2312" w:hAnsi="仿宋_GB2312" w:cs="仿宋_GB2312" w:eastAsia="仿宋_GB2312"/>
          <w:sz w:val="28"/>
          <w:b/>
        </w:rPr>
        <w:t>陕西省曲江监狱</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陕西省曲江监狱</w:t>
      </w:r>
      <w:r>
        <w:rPr>
          <w:rFonts w:ascii="仿宋_GB2312" w:hAnsi="仿宋_GB2312" w:cs="仿宋_GB2312" w:eastAsia="仿宋_GB2312"/>
        </w:rPr>
        <w:t>委托，拟对</w:t>
      </w:r>
      <w:r>
        <w:rPr>
          <w:rFonts w:ascii="仿宋_GB2312" w:hAnsi="仿宋_GB2312" w:cs="仿宋_GB2312" w:eastAsia="仿宋_GB2312"/>
        </w:rPr>
        <w:t>“血液透析治疗中心”医疗服务采购项目(二次)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SCZD2025-CS-0646--001R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“血液透析治疗中心”医疗服务采购项目(二次)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陕西省曲江监狱“血液透析治疗中心”提供血液透析治疗所需医护人员，全面负责治疗点的透析治疗、护理、透析治疗所需医疗器械/具和药品管理、设备运行和维护及医护人员管理等日常运行管理工作，承担医疗安全责任，并为监狱医 护人员提供专业培训。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2、供应商不得存在下列情形之一：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3、信用信息：供应商未被列入“信用中国”网站(www.creditchina.gov.cn)“失信被执行人或重大税收违法失信主体或政府采购严重违法失信行为”记录名单；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4、供应商须具有《医疗机构执业许可证》：供应商须具有《医疗机构执业许可证》，诊疗科目须包含：肾病学专业（血液透析室）。</w:t>
      </w:r>
    </w:p>
    <w:p>
      <w:pPr>
        <w:pStyle w:val="null3"/>
      </w:pPr>
      <w:r>
        <w:rPr>
          <w:rFonts w:ascii="仿宋_GB2312" w:hAnsi="仿宋_GB2312" w:cs="仿宋_GB2312" w:eastAsia="仿宋_GB2312"/>
        </w:rPr>
        <w:t>5、法律、行政法规规定的其他条件：不存在违反法律法规的情况</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陕西省曲江监狱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西安市长安区引镇街道南留村大西安监狱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029-82235869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陕西省曲江监狱</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陕西省曲江监狱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陕西省曲江监狱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地址：陕西省西安市高新二路山西证券大厦八楼综合办</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陕西省曲江监狱“血液透析治疗中心”提供血液透析治疗所需医护人员，全面负责治疗点的透析治疗、护理、透析治疗所需医疗器械/具和药品管理、设备运行和维护及医护人员管理等日常运行管理工作，承担医疗安全责任，并为监狱医护人员提供专业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“血液透析治疗中心”医疗服务采购项目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标的名称：“血液透析治疗中心”医疗服务采购项目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jc w:val="both"/>
            </w:pPr>
            <w:r>
              <w:rPr>
                <w:rFonts w:ascii="仿宋_GB2312" w:hAnsi="仿宋_GB2312" w:cs="仿宋_GB2312" w:eastAsia="仿宋_GB2312"/>
                <w:sz w:val="21"/>
              </w:rPr>
              <w:t>（一）项目概况及内容</w:t>
            </w:r>
          </w:p>
          <w:p>
            <w:pPr>
              <w:pStyle w:val="null3"/>
              <w:ind w:firstLine="480"/>
              <w:jc w:val="both"/>
            </w:pPr>
            <w:r>
              <w:rPr>
                <w:rFonts w:ascii="仿宋_GB2312" w:hAnsi="仿宋_GB2312" w:cs="仿宋_GB2312" w:eastAsia="仿宋_GB2312"/>
                <w:sz w:val="21"/>
              </w:rPr>
              <w:t>1.陕西省曲江监狱“血液透析治疗中心”配置床位21张，治疗点的基础建设、配套设施、透析治疗所需医疗器械/具和药品、水电管理由采购人提供并承担，治疗点日常运行所产生的水、电费用由采购人承担。</w:t>
            </w:r>
          </w:p>
          <w:p>
            <w:pPr>
              <w:pStyle w:val="null3"/>
              <w:ind w:firstLine="480"/>
              <w:jc w:val="both"/>
            </w:pPr>
            <w:r>
              <w:rPr>
                <w:rFonts w:ascii="仿宋_GB2312" w:hAnsi="仿宋_GB2312" w:cs="仿宋_GB2312" w:eastAsia="仿宋_GB2312"/>
                <w:sz w:val="21"/>
              </w:rPr>
              <w:t>2.乙方为陕西省曲江监狱“血液透析治疗中心”提供血液透析治疗所需医护人员，全面负责治疗点的透析治疗、护理、透析治疗所需医疗器械/具和药品管理、设备运行和维护及医护人员管理等日常运行管理工作，承担医疗安全责任，并为监狱医护人员提供专业培训。</w:t>
            </w:r>
          </w:p>
          <w:p>
            <w:pPr>
              <w:pStyle w:val="null3"/>
              <w:ind w:firstLine="480"/>
              <w:jc w:val="both"/>
            </w:pPr>
            <w:r>
              <w:rPr>
                <w:rFonts w:ascii="仿宋_GB2312" w:hAnsi="仿宋_GB2312" w:cs="仿宋_GB2312" w:eastAsia="仿宋_GB2312"/>
                <w:sz w:val="21"/>
              </w:rPr>
              <w:t>（二）服务要求</w:t>
            </w:r>
          </w:p>
          <w:p>
            <w:pPr>
              <w:pStyle w:val="null3"/>
              <w:ind w:firstLine="480"/>
              <w:jc w:val="both"/>
            </w:pPr>
            <w:r>
              <w:rPr>
                <w:rFonts w:ascii="仿宋_GB2312" w:hAnsi="仿宋_GB2312" w:cs="仿宋_GB2312" w:eastAsia="仿宋_GB2312"/>
                <w:sz w:val="21"/>
              </w:rPr>
              <w:t>1.服务对象与内容：为在押“尿毒症”病犯每人每周血透两到三次。</w:t>
            </w:r>
          </w:p>
          <w:p>
            <w:pPr>
              <w:pStyle w:val="null3"/>
              <w:ind w:firstLine="480"/>
              <w:jc w:val="both"/>
            </w:pPr>
            <w:r>
              <w:rPr>
                <w:rFonts w:ascii="仿宋_GB2312" w:hAnsi="仿宋_GB2312" w:cs="仿宋_GB2312" w:eastAsia="仿宋_GB2312"/>
                <w:sz w:val="21"/>
              </w:rPr>
              <w:t>2.医护人员配备要求</w:t>
            </w:r>
          </w:p>
          <w:p>
            <w:pPr>
              <w:pStyle w:val="null3"/>
              <w:ind w:firstLine="480"/>
              <w:jc w:val="both"/>
            </w:pPr>
            <w:r>
              <w:rPr>
                <w:rFonts w:ascii="仿宋_GB2312" w:hAnsi="仿宋_GB2312" w:cs="仿宋_GB2312" w:eastAsia="仿宋_GB2312"/>
                <w:sz w:val="21"/>
              </w:rPr>
              <w:t>（1）执业医师及以上职称：≥4人。要求为供应商在岗职工，取得国家卫生健康委员会颁发的医师执业资格证书，同时具有执业医师职称及以上、其它相关证书。（注：其中至少有一人必须为副主任医师或主治医师。）</w:t>
            </w:r>
          </w:p>
          <w:p>
            <w:pPr>
              <w:pStyle w:val="null3"/>
              <w:ind w:firstLine="480"/>
              <w:jc w:val="both"/>
            </w:pPr>
            <w:r>
              <w:rPr>
                <w:rFonts w:ascii="仿宋_GB2312" w:hAnsi="仿宋_GB2312" w:cs="仿宋_GB2312" w:eastAsia="仿宋_GB2312"/>
                <w:sz w:val="21"/>
              </w:rPr>
              <w:t>（2）护士：≥10人。要求为供应商在岗职工，取得国家卫生健康委员会颁发的护士执业资格证书，同时具有其它相关证书。</w:t>
            </w:r>
          </w:p>
          <w:p>
            <w:pPr>
              <w:pStyle w:val="null3"/>
              <w:ind w:firstLine="480"/>
              <w:jc w:val="both"/>
            </w:pPr>
            <w:r>
              <w:rPr>
                <w:rFonts w:ascii="仿宋_GB2312" w:hAnsi="仿宋_GB2312" w:cs="仿宋_GB2312" w:eastAsia="仿宋_GB2312"/>
                <w:sz w:val="21"/>
              </w:rPr>
              <w:t>（3）技师：≥1人。要求为供应商在岗职工，具有血液透析设备维护经验。</w:t>
            </w:r>
          </w:p>
          <w:p>
            <w:pPr>
              <w:pStyle w:val="null3"/>
              <w:ind w:firstLine="480"/>
              <w:jc w:val="both"/>
            </w:pPr>
            <w:r>
              <w:rPr>
                <w:rFonts w:ascii="仿宋_GB2312" w:hAnsi="仿宋_GB2312" w:cs="仿宋_GB2312" w:eastAsia="仿宋_GB2312"/>
                <w:sz w:val="21"/>
              </w:rPr>
              <w:t>乙方成交后须根据相关规定，为上述医护人员办理多点执业资质。无多点执业资质的，需执业注册到新安中心医院。明确岗位职责，建立有效的医护人员职业安全管理制度。</w:t>
            </w:r>
          </w:p>
          <w:p>
            <w:pPr>
              <w:pStyle w:val="null3"/>
              <w:ind w:firstLine="480"/>
              <w:jc w:val="both"/>
            </w:pPr>
            <w:r>
              <w:rPr>
                <w:rFonts w:ascii="仿宋_GB2312" w:hAnsi="仿宋_GB2312" w:cs="仿宋_GB2312" w:eastAsia="仿宋_GB2312"/>
                <w:sz w:val="21"/>
              </w:rPr>
              <w:t>3.乙方应严格按照国家法律、法规及卫生部《医疗机构管理条例》、《医院感染管理办法》、《血液透析室基本标准》、《医疗机构血液透析室管理规范》、《血液净化基本操作规程》以及陕西省血液净化技术管理规范等相关法律法规的规定执行，负责治疗点的日常管理工作，建立治疗点质量管理体系，制定各项规章制度、医护人员岗位职责、相关诊疗技术规范和操作规程，包括但不限于：</w:t>
            </w:r>
          </w:p>
          <w:p>
            <w:pPr>
              <w:pStyle w:val="null3"/>
              <w:ind w:firstLine="480"/>
              <w:jc w:val="both"/>
            </w:pPr>
            <w:r>
              <w:rPr>
                <w:rFonts w:ascii="仿宋_GB2312" w:hAnsi="仿宋_GB2312" w:cs="仿宋_GB2312" w:eastAsia="仿宋_GB2312"/>
                <w:sz w:val="21"/>
              </w:rPr>
              <w:t>（1）建立医疗质量管理的相关制度，定期开展医疗质量控制工作，持续改进医疗质量。</w:t>
            </w:r>
          </w:p>
          <w:p>
            <w:pPr>
              <w:pStyle w:val="null3"/>
              <w:ind w:firstLine="480"/>
              <w:jc w:val="both"/>
            </w:pPr>
            <w:r>
              <w:rPr>
                <w:rFonts w:ascii="仿宋_GB2312" w:hAnsi="仿宋_GB2312" w:cs="仿宋_GB2312" w:eastAsia="仿宋_GB2312"/>
                <w:sz w:val="21"/>
              </w:rPr>
              <w:t>（2）为满足血液透析室行业规范，要求乙方配备满足《血液透析室基本标准》要求的医护人员，乙方必须保证每次开展的血液透析治疗对医师、护士和技师等人员配备的数量和资质达到《医疗机构血液透析室基本标准》，符合《医院感染管理办法》要求。具体要求详见补充合同。</w:t>
            </w:r>
          </w:p>
          <w:p>
            <w:pPr>
              <w:pStyle w:val="null3"/>
              <w:ind w:firstLine="480"/>
              <w:jc w:val="both"/>
            </w:pPr>
            <w:r>
              <w:rPr>
                <w:rFonts w:ascii="仿宋_GB2312" w:hAnsi="仿宋_GB2312" w:cs="仿宋_GB2312" w:eastAsia="仿宋_GB2312"/>
                <w:sz w:val="21"/>
              </w:rPr>
              <w:t>（3）配备满足基本要求的医护人员，明确岗位职责，建立有效的医护人员职业安全管理制度。</w:t>
            </w:r>
          </w:p>
          <w:p>
            <w:pPr>
              <w:pStyle w:val="null3"/>
              <w:ind w:firstLine="480"/>
              <w:jc w:val="both"/>
            </w:pPr>
            <w:r>
              <w:rPr>
                <w:rFonts w:ascii="仿宋_GB2312" w:hAnsi="仿宋_GB2312" w:cs="仿宋_GB2312" w:eastAsia="仿宋_GB2312"/>
                <w:sz w:val="21"/>
              </w:rPr>
              <w:t xml:space="preserve">乙方配备的所有医护人员必须熟练掌握心肺复苏等急救操作，医师承担血液透析室的日常医疗和医疗质量与安全管理工作；护士应严格执行操作规程，执行透析医嘱，熟练掌握血液透析机及各种血液透析通路的护理操作；透析中定期巡视患者，观察机器运转情况，做好透析记录。技师负责血液透析机及水处理设备的日常维护，保障正常运转；负责执行透析用水和透析液的质量监测，确保其符合相关质量要求。负责所有设备运行情况的登记。  </w:t>
            </w:r>
          </w:p>
          <w:p>
            <w:pPr>
              <w:pStyle w:val="null3"/>
              <w:ind w:firstLine="480"/>
              <w:jc w:val="both"/>
            </w:pPr>
            <w:r>
              <w:rPr>
                <w:rFonts w:ascii="仿宋_GB2312" w:hAnsi="仿宋_GB2312" w:cs="仿宋_GB2312" w:eastAsia="仿宋_GB2312"/>
                <w:sz w:val="21"/>
              </w:rPr>
              <w:t>（4）严格按照血液透析技术操作规范开展血液透析质量及相关工作，保质保量地完成每班次血液透析治疗任务。建立合理、规范的血液透析治疗流程，制定严格的接诊制度，实行患者实名制管理。</w:t>
            </w:r>
          </w:p>
          <w:p>
            <w:pPr>
              <w:pStyle w:val="null3"/>
              <w:ind w:firstLine="480"/>
              <w:jc w:val="both"/>
            </w:pPr>
            <w:r>
              <w:rPr>
                <w:rFonts w:ascii="仿宋_GB2312" w:hAnsi="仿宋_GB2312" w:cs="仿宋_GB2312" w:eastAsia="仿宋_GB2312"/>
                <w:sz w:val="21"/>
              </w:rPr>
              <w:t>（5）建立血液透析患者登记及医疗文书管理制度，加强血液透析患者的信息管理。乙方医务人员按照《病历书写基本规范》书写病历资料，保证书写和签名规范，护理人员保证执行医嘱签名规范。</w:t>
            </w:r>
          </w:p>
          <w:p>
            <w:pPr>
              <w:pStyle w:val="null3"/>
              <w:ind w:firstLine="480"/>
              <w:jc w:val="both"/>
            </w:pPr>
            <w:r>
              <w:rPr>
                <w:rFonts w:ascii="仿宋_GB2312" w:hAnsi="仿宋_GB2312" w:cs="仿宋_GB2312" w:eastAsia="仿宋_GB2312"/>
                <w:sz w:val="21"/>
              </w:rPr>
              <w:t>（6）建立透析液和透析用水质量监测制度，确保透析液和透析用水的质量和安全。</w:t>
            </w:r>
          </w:p>
          <w:p>
            <w:pPr>
              <w:pStyle w:val="null3"/>
              <w:ind w:firstLine="480"/>
              <w:jc w:val="both"/>
            </w:pPr>
            <w:r>
              <w:rPr>
                <w:rFonts w:ascii="仿宋_GB2312" w:hAnsi="仿宋_GB2312" w:cs="仿宋_GB2312" w:eastAsia="仿宋_GB2312"/>
                <w:sz w:val="21"/>
              </w:rPr>
              <w:t>（7）按照规定使用和管理医疗设备、医疗耗材、消毒药械和医疗用品等。</w:t>
            </w:r>
          </w:p>
          <w:p>
            <w:pPr>
              <w:pStyle w:val="null3"/>
              <w:ind w:firstLine="480"/>
              <w:jc w:val="both"/>
            </w:pPr>
            <w:r>
              <w:rPr>
                <w:rFonts w:ascii="仿宋_GB2312" w:hAnsi="仿宋_GB2312" w:cs="仿宋_GB2312" w:eastAsia="仿宋_GB2312"/>
                <w:sz w:val="21"/>
              </w:rPr>
              <w:t>（8）为透析设备建立档案，对透析设备进行日常维护，保证透析机及其他相关设备正常运行。</w:t>
            </w:r>
          </w:p>
          <w:p>
            <w:pPr>
              <w:pStyle w:val="null3"/>
              <w:ind w:firstLine="480"/>
              <w:jc w:val="both"/>
            </w:pPr>
            <w:r>
              <w:rPr>
                <w:rFonts w:ascii="仿宋_GB2312" w:hAnsi="仿宋_GB2312" w:cs="仿宋_GB2312" w:eastAsia="仿宋_GB2312"/>
                <w:sz w:val="21"/>
              </w:rPr>
              <w:t>（9）医疗废弃物按照《医疗废物管理条例》及有关规定进行分类和处理。</w:t>
            </w:r>
          </w:p>
          <w:p>
            <w:pPr>
              <w:pStyle w:val="null3"/>
              <w:ind w:firstLine="480"/>
              <w:jc w:val="both"/>
            </w:pPr>
            <w:r>
              <w:rPr>
                <w:rFonts w:ascii="仿宋_GB2312" w:hAnsi="仿宋_GB2312" w:cs="仿宋_GB2312" w:eastAsia="仿宋_GB2312"/>
                <w:sz w:val="21"/>
              </w:rPr>
              <w:t>（10）制订完善的应急处理预案与处理程序，降低医疗风险，保证病人安全。</w:t>
            </w:r>
          </w:p>
          <w:p>
            <w:pPr>
              <w:pStyle w:val="null3"/>
              <w:ind w:firstLine="480"/>
              <w:jc w:val="both"/>
            </w:pPr>
            <w:r>
              <w:rPr>
                <w:rFonts w:ascii="仿宋_GB2312" w:hAnsi="仿宋_GB2312" w:cs="仿宋_GB2312" w:eastAsia="仿宋_GB2312"/>
                <w:sz w:val="21"/>
              </w:rPr>
              <w:t>4.人员培训</w:t>
            </w:r>
          </w:p>
          <w:p>
            <w:pPr>
              <w:pStyle w:val="null3"/>
              <w:ind w:firstLine="480"/>
              <w:jc w:val="both"/>
            </w:pPr>
            <w:r>
              <w:rPr>
                <w:rFonts w:ascii="仿宋_GB2312" w:hAnsi="仿宋_GB2312" w:cs="仿宋_GB2312" w:eastAsia="仿宋_GB2312"/>
                <w:sz w:val="21"/>
              </w:rPr>
              <w:t>乙方提供相关诊疗技术规范和操作规程的培训，并按甲方要求的时间为甲</w:t>
            </w:r>
            <w:r>
              <w:rPr>
                <w:rFonts w:ascii="仿宋_GB2312" w:hAnsi="仿宋_GB2312" w:cs="仿宋_GB2312" w:eastAsia="仿宋_GB2312"/>
                <w:sz w:val="21"/>
              </w:rPr>
              <w:t>方负责带教培训工作。包括：熟悉血液透析各项规范、专科理论知识和操作技能，具体培训计划见补充合同，乙方同时对治疗对象免费培训卫生知识、疾病预防等医疗知识。</w:t>
            </w:r>
          </w:p>
          <w:p>
            <w:pPr>
              <w:pStyle w:val="null3"/>
              <w:ind w:firstLine="480"/>
              <w:jc w:val="both"/>
            </w:pPr>
            <w:r>
              <w:rPr>
                <w:rFonts w:ascii="仿宋_GB2312" w:hAnsi="仿宋_GB2312" w:cs="仿宋_GB2312" w:eastAsia="仿宋_GB2312"/>
                <w:sz w:val="21"/>
              </w:rPr>
              <w:t>5、辅助治疗和检查由甲方依据供应商医生医嘱要求执行。</w:t>
            </w:r>
          </w:p>
          <w:p>
            <w:pPr>
              <w:pStyle w:val="null3"/>
              <w:ind w:firstLine="480"/>
              <w:jc w:val="both"/>
            </w:pPr>
            <w:r>
              <w:rPr>
                <w:rFonts w:ascii="仿宋_GB2312" w:hAnsi="仿宋_GB2312" w:cs="仿宋_GB2312" w:eastAsia="仿宋_GB2312"/>
                <w:sz w:val="21"/>
              </w:rPr>
              <w:t>6、甲方不承担乙方在服务期间发生的劳动争议纠纷的任何责任，乙方承担服务期间乙方所有医、护、技人员的工资、绩效及社保的缴纳。</w:t>
            </w:r>
          </w:p>
          <w:p>
            <w:pPr>
              <w:pStyle w:val="null3"/>
              <w:ind w:firstLine="480"/>
              <w:jc w:val="both"/>
            </w:pPr>
            <w:r>
              <w:rPr>
                <w:rFonts w:ascii="仿宋_GB2312" w:hAnsi="仿宋_GB2312" w:cs="仿宋_GB2312" w:eastAsia="仿宋_GB2312"/>
                <w:sz w:val="21"/>
              </w:rPr>
              <w:t>7、甲方对乙方提供的服务质量、治疗效果等进行检查考核。甲方有权根据国家、省、市以及市业务主管部门相关法律法规和管理规定的变动对检查考核规范进行修改和补充。</w:t>
            </w:r>
          </w:p>
          <w:p>
            <w:pPr>
              <w:pStyle w:val="null3"/>
              <w:ind w:firstLine="480"/>
              <w:jc w:val="both"/>
            </w:pPr>
            <w:r>
              <w:rPr>
                <w:rFonts w:ascii="仿宋_GB2312" w:hAnsi="仿宋_GB2312" w:cs="仿宋_GB2312" w:eastAsia="仿宋_GB2312"/>
                <w:sz w:val="21"/>
              </w:rPr>
              <w:t>8、按照医疗服务规范、规程的要求实施并完成医疗服务任务，达到相关医疗服务标准。</w:t>
            </w:r>
          </w:p>
          <w:p>
            <w:pPr>
              <w:pStyle w:val="null3"/>
              <w:ind w:firstLine="480"/>
              <w:jc w:val="both"/>
            </w:pPr>
            <w:r>
              <w:rPr>
                <w:rFonts w:ascii="仿宋_GB2312" w:hAnsi="仿宋_GB2312" w:cs="仿宋_GB2312" w:eastAsia="仿宋_GB2312"/>
                <w:sz w:val="21"/>
              </w:rPr>
              <w:t>9、努力避免医疗事故及纠纷，全力维护医疗安全；若因乙方责任（经鉴定），导致发生医疗事故及纠纷，应在甲方协助下按照相关法律法规执行，并由乙方依法承担相应的赔偿责任，采购人提供必要的工作配合（如全程医护人员的监控录像等）。</w:t>
            </w:r>
          </w:p>
          <w:p>
            <w:pPr>
              <w:pStyle w:val="null3"/>
              <w:ind w:firstLine="480"/>
              <w:jc w:val="both"/>
            </w:pPr>
            <w:r>
              <w:rPr>
                <w:rFonts w:ascii="仿宋_GB2312" w:hAnsi="仿宋_GB2312" w:cs="仿宋_GB2312" w:eastAsia="仿宋_GB2312"/>
                <w:sz w:val="21"/>
              </w:rPr>
              <w:t>10、乙方应自觉接受甲方及有关部门对合同履行情况的监督和考核，接受甲方考核制度及奖惩制度的规定。对上级卫生行政检查部门在各类血液透析卫生要求和监督检查中提出的，关于血液透析室房屋设置布局等硬件要求由甲方负责整改；对指出的关于血透人员配备、医疗质量诊疗技术规范和操作等方面的问题由乙方负责整改和承担相应的罚款费用。</w:t>
            </w:r>
          </w:p>
          <w:p>
            <w:pPr>
              <w:pStyle w:val="null3"/>
              <w:ind w:firstLine="480"/>
              <w:jc w:val="both"/>
            </w:pPr>
            <w:r>
              <w:rPr>
                <w:rFonts w:ascii="仿宋_GB2312" w:hAnsi="仿宋_GB2312" w:cs="仿宋_GB2312" w:eastAsia="仿宋_GB2312"/>
                <w:sz w:val="21"/>
              </w:rPr>
              <w:t>11、乙方医务人员须适应远离市区25公里的地方工作，所有派驻的医务人员必须政治可靠、 业务能力强，且具有执业资格。必须遵守监狱有关医疗卫生工作的规定和工作人员的相关纪律规定及保密规定。应保持医务人员稳定。若乙方对医护人员进行调整，应提前5日书面通知甲方，经甲方同意后方可调整，且相关资料交甲方备案。甲方对派驻的医务人员工作不满意， 有权要求乙方重新配备补足人员。</w:t>
            </w:r>
          </w:p>
          <w:p>
            <w:pPr>
              <w:pStyle w:val="null3"/>
              <w:ind w:firstLine="480"/>
              <w:jc w:val="both"/>
            </w:pPr>
            <w:r>
              <w:rPr>
                <w:rFonts w:ascii="仿宋_GB2312" w:hAnsi="仿宋_GB2312" w:cs="仿宋_GB2312" w:eastAsia="仿宋_GB2312"/>
                <w:sz w:val="21"/>
              </w:rPr>
              <w:t>13、乙方医护人员必须认真遵守甲方有关监狱管理相关规章制度。</w:t>
            </w:r>
          </w:p>
          <w:p>
            <w:pPr>
              <w:pStyle w:val="null3"/>
              <w:ind w:firstLine="480"/>
              <w:jc w:val="both"/>
            </w:pPr>
            <w:r>
              <w:rPr>
                <w:rFonts w:ascii="仿宋_GB2312" w:hAnsi="仿宋_GB2312" w:cs="仿宋_GB2312" w:eastAsia="仿宋_GB2312"/>
                <w:sz w:val="21"/>
              </w:rPr>
              <w:t>14、乙方有紧急处置能力，一旦出现危急重病人时，乙方有实行紧急抢救治疗的能力，有紧急抢救措施，以确保病人的生命安全。甲方如发生突发性、群体性卫生紧急事件，乙方应在报告领导及请示相关部门情况下，在最短时间派出防控、救治的相关医务人员配合甲方实施防控、诊疗工作。</w:t>
            </w:r>
          </w:p>
          <w:p>
            <w:pPr>
              <w:pStyle w:val="null3"/>
              <w:ind w:firstLine="480"/>
              <w:jc w:val="both"/>
            </w:pPr>
            <w:r>
              <w:rPr>
                <w:rFonts w:ascii="仿宋_GB2312" w:hAnsi="仿宋_GB2312" w:cs="仿宋_GB2312" w:eastAsia="仿宋_GB2312"/>
                <w:sz w:val="21"/>
              </w:rPr>
              <w:t>15、乙方在考核、检查等各项活动中，做到各项检查合格并力争创优争先。</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费用每月结算一次，乙方开具相应发票，甲方在发票开具之日起30天内按照发票金额全额拨付乙方指定的银行账户，第一个月的服务费用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 业执照”复印件；（6）供应商是自然人的，应提供其有效的自然人身份证明复印件。 2、依法缴纳税收的证明材料（1）供应商应提供磋商截止时间前近六个月中任何一个月缴税凭证，时间以税款所属时期为准（银行出具的缴税凭证或税务机关出具的证明的复印件，并加盖本单位公章）。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递交响应文件截止时间前六个月中至少一个月的缴纳社会保险的凭据（专用收据或社会保险缴纳清单），并加盖本单位公章。（2）凭证复印件须清晰可辨，并能显示出供应商名称和所缴纳的社保的种类。（3）依法不需要缴纳社会保障资金的，应提供相应文件说明其依法不需要缴纳的证明材料复印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供应商须具有《医疗机构执业许可证》</w:t>
            </w:r>
          </w:p>
        </w:tc>
        <w:tc>
          <w:tcPr>
            <w:tcW w:type="dxa" w:w="3322"/>
          </w:tcPr>
          <w:p>
            <w:pPr>
              <w:pStyle w:val="null3"/>
            </w:pPr>
            <w:r>
              <w:rPr>
                <w:rFonts w:ascii="仿宋_GB2312" w:hAnsi="仿宋_GB2312" w:cs="仿宋_GB2312" w:eastAsia="仿宋_GB2312"/>
              </w:rPr>
              <w:t>供应商须具有《医疗机构执业许可证》，诊疗科目须包含：肾病学专业（血液透析室）。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响应承诺书.docx 中小企业声明函 偏离表.docx 报价表 资格证明文件.docx 保证金支付凭证或担保函.docx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响应内容不存在不符合采购文件规定情形，不存在采购档次降低或影响采购性能、功能的情形</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响应承诺书.docx 中小企业声明函 偏离表.docx 报价表 资格证明文件.docx 保证金支付凭证或担保函.docx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响应承诺书.docx 中小企业声明函 偏离表.docx 报价表 资格证明文件.docx 保证金支付凭证或担保函.docx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不存在采购文件规定的响应无效条款的情形</w:t>
            </w:r>
          </w:p>
        </w:tc>
        <w:tc>
          <w:tcPr>
            <w:tcW w:type="dxa" w:w="1661"/>
          </w:tcPr>
          <w:p>
            <w:pPr>
              <w:pStyle w:val="null3"/>
            </w:pPr>
            <w:r>
              <w:rPr>
                <w:rFonts w:ascii="仿宋_GB2312" w:hAnsi="仿宋_GB2312" w:cs="仿宋_GB2312" w:eastAsia="仿宋_GB2312"/>
              </w:rPr>
              <w:t>响应承诺书.docx 中小企业声明函 偏离表.docx 报价表 资格证明文件.docx 保证金支付凭证或担保函.docx 响应文件封面 分项报价表.docx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整体服务方案-1</w:t>
            </w:r>
          </w:p>
        </w:tc>
        <w:tc>
          <w:tcPr>
            <w:tcW w:type="dxa" w:w="2492"/>
          </w:tcPr>
          <w:p>
            <w:pPr>
              <w:pStyle w:val="null3"/>
            </w:pPr>
            <w:r>
              <w:rPr>
                <w:rFonts w:ascii="仿宋_GB2312" w:hAnsi="仿宋_GB2312" w:cs="仿宋_GB2312" w:eastAsia="仿宋_GB2312"/>
              </w:rPr>
              <w:t>血液透析治疗专项方案（覆盖患者接诊流程、感染防控、医疗废弃物处理等）： 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整体服务方案-2</w:t>
            </w:r>
          </w:p>
        </w:tc>
        <w:tc>
          <w:tcPr>
            <w:tcW w:type="dxa" w:w="2492"/>
          </w:tcPr>
          <w:p>
            <w:pPr>
              <w:pStyle w:val="null3"/>
            </w:pPr>
            <w:r>
              <w:rPr>
                <w:rFonts w:ascii="仿宋_GB2312" w:hAnsi="仿宋_GB2312" w:cs="仿宋_GB2312" w:eastAsia="仿宋_GB2312"/>
              </w:rPr>
              <w:t>透析设备运维方案（含日常维护、故障应急处理）：内容完整、可实施、且有针对性得5分；内容完整、可实施得3分；内容有缺陷得1分；未提供不得分。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整体服务方案-3</w:t>
            </w:r>
          </w:p>
        </w:tc>
        <w:tc>
          <w:tcPr>
            <w:tcW w:type="dxa" w:w="2492"/>
          </w:tcPr>
          <w:p>
            <w:pPr>
              <w:pStyle w:val="null3"/>
            </w:pPr>
            <w:r>
              <w:rPr>
                <w:rFonts w:ascii="仿宋_GB2312" w:hAnsi="仿宋_GB2312" w:cs="仿宋_GB2312" w:eastAsia="仿宋_GB2312"/>
              </w:rPr>
              <w:t>病犯安全管理方案（含传染病防控、突发事件预案）：内容完整、可实施、且有针对性得5分；内容完整、可实施得3分；内容有缺陷得1分；未提供不得分。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整体服务方案-4</w:t>
            </w:r>
          </w:p>
        </w:tc>
        <w:tc>
          <w:tcPr>
            <w:tcW w:type="dxa" w:w="2492"/>
          </w:tcPr>
          <w:p>
            <w:pPr>
              <w:pStyle w:val="null3"/>
            </w:pPr>
            <w:r>
              <w:rPr>
                <w:rFonts w:ascii="仿宋_GB2312" w:hAnsi="仿宋_GB2312" w:cs="仿宋_GB2312" w:eastAsia="仿宋_GB2312"/>
              </w:rPr>
              <w:t>监狱医护人员培训计划：内容完整、可实施、且有针对性得5分；内容完整、可实施得3分；内容有缺陷得1分；未提供不得分。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人员配备满足采购人服务要求，资料完整、安排合理，针对性强得10分；资料较为完整、安排较合理，有针对性得7分；资料有缺陷、无针对性得3分；未提供不得分。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管理制度-1</w:t>
            </w:r>
          </w:p>
        </w:tc>
        <w:tc>
          <w:tcPr>
            <w:tcW w:type="dxa" w:w="2492"/>
          </w:tcPr>
          <w:p>
            <w:pPr>
              <w:pStyle w:val="null3"/>
            </w:pPr>
            <w:r>
              <w:rPr>
                <w:rFonts w:ascii="仿宋_GB2312" w:hAnsi="仿宋_GB2312" w:cs="仿宋_GB2312" w:eastAsia="仿宋_GB2312"/>
              </w:rPr>
              <w:t>血液透析室质量管理体系（含感染控制、医疗文书管理）：内容完整、可实施、且有针对性得5分；内容完整、可实施得3分；内容有缺陷得1分；未提供不得分。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管理制度-2</w:t>
            </w:r>
          </w:p>
        </w:tc>
        <w:tc>
          <w:tcPr>
            <w:tcW w:type="dxa" w:w="2492"/>
          </w:tcPr>
          <w:p>
            <w:pPr>
              <w:pStyle w:val="null3"/>
            </w:pPr>
            <w:r>
              <w:rPr>
                <w:rFonts w:ascii="仿宋_GB2312" w:hAnsi="仿宋_GB2312" w:cs="仿宋_GB2312" w:eastAsia="仿宋_GB2312"/>
              </w:rPr>
              <w:t>医护人员职业安全制度：内容完整、可实施、且有针对性得5分；内容完整、可实施得3分；内容有缺陷得1分；未提供不得分。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管理制度-3</w:t>
            </w:r>
          </w:p>
        </w:tc>
        <w:tc>
          <w:tcPr>
            <w:tcW w:type="dxa" w:w="2492"/>
          </w:tcPr>
          <w:p>
            <w:pPr>
              <w:pStyle w:val="null3"/>
            </w:pPr>
            <w:r>
              <w:rPr>
                <w:rFonts w:ascii="仿宋_GB2312" w:hAnsi="仿宋_GB2312" w:cs="仿宋_GB2312" w:eastAsia="仿宋_GB2312"/>
              </w:rPr>
              <w:t>透析液/水质量监测制度：内容完整、可实施、且有针对性得5分；内容完整、可实施得3分；内容有缺陷得1分；未提供不得分。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管理制度-4</w:t>
            </w:r>
          </w:p>
        </w:tc>
        <w:tc>
          <w:tcPr>
            <w:tcW w:type="dxa" w:w="2492"/>
          </w:tcPr>
          <w:p>
            <w:pPr>
              <w:pStyle w:val="null3"/>
            </w:pPr>
            <w:r>
              <w:rPr>
                <w:rFonts w:ascii="仿宋_GB2312" w:hAnsi="仿宋_GB2312" w:cs="仿宋_GB2312" w:eastAsia="仿宋_GB2312"/>
              </w:rPr>
              <w:t>医疗耗材管理制度（如无感染控制流程等）：内容完整、可实施、且有针对性得5分；内容完整、可实施得3分；内容有缺陷得1分；未提供不得分。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医疗事故处理预案（含纠纷解决流程）：内容完整、可实施、且有针对性得5分；内容完整、可实施得3分；内容有缺陷得1分；未提供不得分。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设备故障应急方案：内容完整、可实施、且有针对性得5分；内容完整、可实施得3分；内容有缺陷得1分；未提供不得分。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应急预案-3</w:t>
            </w:r>
          </w:p>
        </w:tc>
        <w:tc>
          <w:tcPr>
            <w:tcW w:type="dxa" w:w="2492"/>
          </w:tcPr>
          <w:p>
            <w:pPr>
              <w:pStyle w:val="null3"/>
            </w:pPr>
            <w:r>
              <w:rPr>
                <w:rFonts w:ascii="仿宋_GB2312" w:hAnsi="仿宋_GB2312" w:cs="仿宋_GB2312" w:eastAsia="仿宋_GB2312"/>
              </w:rPr>
              <w:t>传染病暴发防控预案：内容完整、可实施、且有针对性得5分；内容完整、可实施得3分；内容有缺陷得1分；未提供不得分。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培训体系-1</w:t>
            </w:r>
          </w:p>
        </w:tc>
        <w:tc>
          <w:tcPr>
            <w:tcW w:type="dxa" w:w="2492"/>
          </w:tcPr>
          <w:p>
            <w:pPr>
              <w:pStyle w:val="null3"/>
            </w:pPr>
            <w:r>
              <w:rPr>
                <w:rFonts w:ascii="仿宋_GB2312" w:hAnsi="仿宋_GB2312" w:cs="仿宋_GB2312" w:eastAsia="仿宋_GB2312"/>
              </w:rPr>
              <w:t>监狱医护人员培训计划（含课程表、考核标准）:内容完整、可实施、且有针对性得5分；内容完整、可实施得3分；内容有缺陷得1分；未提供不得分。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培训体系-2</w:t>
            </w:r>
          </w:p>
        </w:tc>
        <w:tc>
          <w:tcPr>
            <w:tcW w:type="dxa" w:w="2492"/>
          </w:tcPr>
          <w:p>
            <w:pPr>
              <w:pStyle w:val="null3"/>
            </w:pPr>
            <w:r>
              <w:rPr>
                <w:rFonts w:ascii="仿宋_GB2312" w:hAnsi="仿宋_GB2312" w:cs="仿宋_GB2312" w:eastAsia="仿宋_GB2312"/>
              </w:rPr>
              <w:t>培训效果保障措施：内容完整、可实施、且有针对性得5分；内容完整、可实施得3分；内容有缺陷得1分；未提供不得分。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设备管理</w:t>
            </w:r>
          </w:p>
        </w:tc>
        <w:tc>
          <w:tcPr>
            <w:tcW w:type="dxa" w:w="2492"/>
          </w:tcPr>
          <w:p>
            <w:pPr>
              <w:pStyle w:val="null3"/>
            </w:pPr>
            <w:r>
              <w:rPr>
                <w:rFonts w:ascii="仿宋_GB2312" w:hAnsi="仿宋_GB2312" w:cs="仿宋_GB2312" w:eastAsia="仿宋_GB2312"/>
              </w:rPr>
              <w:t>档案管理制度、耗材存放更换流程、设备维护记录:内容完整、可实施、且有针对性得5分；内容完整、可实施得3分；内容有缺陷得1分；未提供不得分。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提供2022年1月1日至响应文件递交截止日的类似项目业绩，每份合同得2分，最高10分；以加盖公章的业绩合同复印件为准，合同至少需包含合同首页、产品页、签章页。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满足采购文件要求且有效响应文件的最后报价最低报价为评审基准价，其价格分为满分。其他供应商的价格分统一按照下列公式计算：投标报价得分=（评标基准价/最后报价）×10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详见附件：保证金支付凭证或担保函.docx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