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版本号：ZY2025-JCZC-162F.1B120250418001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陕西省广告法律法规知识竞赛(二次)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ZY2025-JCZC-162F.1B1</w:t>
      </w:r>
      <w:r>
        <w:br/>
      </w:r>
      <w:r>
        <w:br/>
      </w:r>
      <w:r>
        <w:br/>
      </w:r>
    </w:p>
    <w:p>
      <w:pPr>
        <w:pStyle w:val="null3"/>
        <w:jc w:val="center"/>
        <w:outlineLvl w:val="2"/>
      </w:pPr>
      <w:r>
        <w:rPr>
          <w:rFonts w:ascii="仿宋_GB2312" w:hAnsi="仿宋_GB2312" w:cs="仿宋_GB2312" w:eastAsia="仿宋_GB2312"/>
          <w:sz w:val="28"/>
          <w:b/>
        </w:rPr>
        <w:t>陕西省市场监督管理局</w:t>
      </w:r>
    </w:p>
    <w:p>
      <w:pPr>
        <w:pStyle w:val="null3"/>
        <w:jc w:val="center"/>
        <w:outlineLvl w:val="2"/>
      </w:pPr>
      <w:r>
        <w:rPr>
          <w:rFonts w:ascii="仿宋_GB2312" w:hAnsi="仿宋_GB2312" w:cs="仿宋_GB2312" w:eastAsia="仿宋_GB2312"/>
          <w:sz w:val="28"/>
          <w:b/>
        </w:rPr>
        <w:t>陕西正源工程造价咨询有限责任公司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陕西正源工程造价咨询有限责任公司</w:t>
      </w:r>
      <w:r>
        <w:rPr>
          <w:rFonts w:ascii="仿宋_GB2312" w:hAnsi="仿宋_GB2312" w:cs="仿宋_GB2312" w:eastAsia="仿宋_GB2312"/>
        </w:rPr>
        <w:t>（以下简称“代理机构”）受</w:t>
      </w:r>
      <w:r>
        <w:rPr>
          <w:rFonts w:ascii="仿宋_GB2312" w:hAnsi="仿宋_GB2312" w:cs="仿宋_GB2312" w:eastAsia="仿宋_GB2312"/>
        </w:rPr>
        <w:t>陕西省市场监督管理局</w:t>
      </w:r>
      <w:r>
        <w:rPr>
          <w:rFonts w:ascii="仿宋_GB2312" w:hAnsi="仿宋_GB2312" w:cs="仿宋_GB2312" w:eastAsia="仿宋_GB2312"/>
        </w:rPr>
        <w:t>委托，拟对</w:t>
      </w:r>
      <w:r>
        <w:rPr>
          <w:rFonts w:ascii="仿宋_GB2312" w:hAnsi="仿宋_GB2312" w:cs="仿宋_GB2312" w:eastAsia="仿宋_GB2312"/>
        </w:rPr>
        <w:t>陕西省广告法律法规知识竞赛(二次)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ZY2025-JCZC-162F.1B1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陕西省广告法律法规知识竞赛(二次)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纪念新《广告法》实施10周年，贯彻新发展理念，激励广告监管执法、广告行业从业人员的学习热情，提高知法、用法水平，促进社会对广告行业的了解、关心和支持，推进《广告法》《互联网广告管理办法》等相关法律法规的学习、宣贯，省局决定在全省范围内开展广告法律法规知识竞赛活动。</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采购包1（陕西省广告法律法规知识竞赛）：属于专门面向小微企业采购。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年度经审计的财务报告（包括“四表一注”，即资产负债表、利润表、现金流量表、所有者权益变动表及其附注，成立时间至提交响应文件截止时间不足一年的可提供成立后任意时段的资产负债表），或其开标前六个月内银行出具的资信证明。</w:t>
      </w:r>
    </w:p>
    <w:p>
      <w:pPr>
        <w:pStyle w:val="null3"/>
      </w:pPr>
      <w:r>
        <w:rPr>
          <w:rFonts w:ascii="仿宋_GB2312" w:hAnsi="仿宋_GB2312" w:cs="仿宋_GB2312" w:eastAsia="仿宋_GB2312"/>
        </w:rPr>
        <w:t>3、税收缴纳证明：：提供2024年9月至今已缴存的至少一个月的依法缴纳税款的相关凭据（时间以税款所属日期为准、税种须包含增值税或企业所得税），凭据应有税务机关或代收机关的公章或业务专用章。依法免税或无须缴纳税款的供应商，应提供相应证明文件。</w:t>
      </w:r>
    </w:p>
    <w:p>
      <w:pPr>
        <w:pStyle w:val="null3"/>
      </w:pPr>
      <w:r>
        <w:rPr>
          <w:rFonts w:ascii="仿宋_GB2312" w:hAnsi="仿宋_GB2312" w:cs="仿宋_GB2312" w:eastAsia="仿宋_GB2312"/>
        </w:rPr>
        <w:t>4、社会保障资金缴纳证明：：提供2024年9月至今已缴存的至少一个月的社会保障资金缴存单据或社保机构开具的社会保险参保缴费情况证明，依法不需要缴纳社会保障资金的单位应提供相关证明材料。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7、法定代表人授权书：：法定代表人授权书及被授权人身份证明。（法定代表人直接磋商只须提交其身份证明）。</w:t>
      </w:r>
    </w:p>
    <w:p>
      <w:pPr>
        <w:pStyle w:val="null3"/>
      </w:pPr>
      <w:r>
        <w:rPr>
          <w:rFonts w:ascii="仿宋_GB2312" w:hAnsi="仿宋_GB2312" w:cs="仿宋_GB2312" w:eastAsia="仿宋_GB2312"/>
        </w:rPr>
        <w:t>8、中小企业声明函：：本项目专门面向中小微企业采购，供应商须为小微企业，提供中小企业声明函。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陕西省市场监督管理局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西安市二环北路东段739号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陕西省市场监督管理局经办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02986138656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陕西正源工程造价咨询有限责任公司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陕西省西安市碑林区陕西省西安市碑林区长安北路 113 号永宁国际 (大话所南门门)10701号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邓慧、李双双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17782967857 15249201050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代理服务费收费标准：参照国家计委颁布的《招标代理服务收费管理暂行办法》（计价格[2002]1980号）及发改办价格[2003]857号文件的规定收取。 本项目代理服务费按服务类计取。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陕西省市场监督管理局</w:t>
      </w:r>
      <w:r>
        <w:rPr>
          <w:rFonts w:ascii="仿宋_GB2312" w:hAnsi="仿宋_GB2312" w:cs="仿宋_GB2312" w:eastAsia="仿宋_GB2312"/>
        </w:rPr>
        <w:t>和</w:t>
      </w:r>
      <w:r>
        <w:rPr>
          <w:rFonts w:ascii="仿宋_GB2312" w:hAnsi="仿宋_GB2312" w:cs="仿宋_GB2312" w:eastAsia="仿宋_GB2312"/>
        </w:rPr>
        <w:t>陕西正源工程造价咨询有限责任公司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陕西省市场监督管理局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陕西正源工程造价咨询有限责任公司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陕西省市场监督管理局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陕西正源工程造价咨询有限责任公司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达到采购服务要求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陕西正源工程造价咨询有限责任公司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陕西正源工程造价咨询有限责任公司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陕西正源工程造价咨询有限责任公司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联系人：邓慧、李双双</w:t>
      </w:r>
    </w:p>
    <w:p>
      <w:pPr>
        <w:pStyle w:val="null3"/>
      </w:pPr>
      <w:r>
        <w:rPr>
          <w:rFonts w:ascii="仿宋_GB2312" w:hAnsi="仿宋_GB2312" w:cs="仿宋_GB2312" w:eastAsia="仿宋_GB2312"/>
        </w:rPr>
        <w:t>联系电话：17782967857/83691515</w:t>
      </w:r>
    </w:p>
    <w:p>
      <w:pPr>
        <w:pStyle w:val="null3"/>
      </w:pPr>
      <w:r>
        <w:rPr>
          <w:rFonts w:ascii="仿宋_GB2312" w:hAnsi="仿宋_GB2312" w:cs="仿宋_GB2312" w:eastAsia="仿宋_GB2312"/>
        </w:rPr>
        <w:t>地址：西安市碑林区长安北路113号永宁国际（大话南门）701室</w:t>
      </w:r>
    </w:p>
    <w:p>
      <w:pPr>
        <w:pStyle w:val="null3"/>
      </w:pPr>
      <w:r>
        <w:rPr>
          <w:rFonts w:ascii="仿宋_GB2312" w:hAnsi="仿宋_GB2312" w:cs="仿宋_GB2312" w:eastAsia="仿宋_GB2312"/>
        </w:rPr>
        <w:t>邮编：710068</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陕西省广告法律法规知识竞赛项目竞赛活动需求，提供定制化的设计方案，确保知识竞赛具有吸引力和传播力；利用电视、广播、互联网、社交媒体等多种传播渠道，确保广告法律法规知识信息能够覆盖更广泛的受众群体；在项目的实施过程中确保项目的公益性和社会效益，服务期限为1个月。</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w:t>
      </w:r>
    </w:p>
    <w:p>
      <w:pPr>
        <w:pStyle w:val="null3"/>
      </w:pPr>
      <w:r>
        <w:rPr>
          <w:rFonts w:ascii="仿宋_GB2312" w:hAnsi="仿宋_GB2312" w:cs="仿宋_GB2312" w:eastAsia="仿宋_GB2312"/>
        </w:rPr>
        <w:t>采购包最高限价（元）: 150,000.00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陕西省广告法律法规知识竞赛</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标的名称：陕西省广告法律法规知识竞赛</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rPr>
              <w:t>SourceURL:file:///home/guest/Desktop/政府采购/项目采购需求/陕西省广告法律法规知识竞赛(2).wps</w:t>
            </w:r>
          </w:p>
          <w:tbl>
            <w:tblPr>
              <w:tblBorders>
                <w:top w:val="none" w:color="000000" w:sz="4"/>
                <w:left w:val="none" w:color="000000" w:sz="4"/>
                <w:bottom w:val="none" w:color="000000" w:sz="4"/>
                <w:right w:val="none" w:color="000000" w:sz="4"/>
                <w:insideH w:val="none"/>
                <w:insideV w:val="none"/>
              </w:tblBorders>
            </w:tblPr>
            <w:tblGrid>
              <w:gridCol w:w="542"/>
              <w:gridCol w:w="1315"/>
            </w:tblGrid>
            <w:tr>
              <w:tc>
                <w:tcPr>
                  <w:tcW w:type="dxa" w:w="542"/>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rPr>
                    <w:t>1、服务目标</w:t>
                  </w:r>
                </w:p>
              </w:tc>
              <w:tc>
                <w:tcPr>
                  <w:tcW w:type="dxa" w:w="1315"/>
                  <w:tcBorders>
                    <w:top w:val="outset" w:color="000000" w:sz="4"/>
                    <w:left w:val="none" w:color="000000" w:sz="4"/>
                    <w:bottom w:val="outset" w:color="000000" w:sz="4"/>
                    <w:right w:val="outset"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（一）提高参赛者对广告法律法规的理解与应用能力。</w:t>
                  </w:r>
                </w:p>
                <w:p>
                  <w:pPr>
                    <w:pStyle w:val="null3"/>
                    <w:jc w:val="both"/>
                  </w:pPr>
                  <w:r>
                    <w:rPr>
                      <w:rFonts w:ascii="仿宋_GB2312" w:hAnsi="仿宋_GB2312" w:cs="仿宋_GB2312" w:eastAsia="仿宋_GB2312"/>
                      <w:sz w:val="21"/>
                    </w:rPr>
                    <w:t>（二）增强企业合规意识，降低广告宣传风险。</w:t>
                  </w:r>
                </w:p>
                <w:p>
                  <w:pPr>
                    <w:pStyle w:val="null3"/>
                    <w:jc w:val="both"/>
                  </w:pPr>
                  <w:r>
                    <w:rPr>
                      <w:rFonts w:ascii="仿宋_GB2312" w:hAnsi="仿宋_GB2312" w:cs="仿宋_GB2312" w:eastAsia="仿宋_GB2312"/>
                      <w:sz w:val="21"/>
                    </w:rPr>
                    <w:t>（三）形成行业标杆案例，推动广告行业规范化发展。</w:t>
                  </w:r>
                </w:p>
              </w:tc>
            </w:tr>
            <w:tr>
              <w:tc>
                <w:tcPr>
                  <w:tcW w:type="dxa" w:w="54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rPr>
                    <w:t>2、服务要求</w:t>
                  </w:r>
                </w:p>
              </w:tc>
              <w:tc>
                <w:tcPr>
                  <w:tcW w:type="dxa" w:w="1315"/>
                  <w:tcBorders>
                    <w:top w:val="none" w:color="000000" w:sz="4"/>
                    <w:left w:val="none" w:color="000000" w:sz="4"/>
                    <w:bottom w:val="outset" w:color="000000" w:sz="4"/>
                    <w:right w:val="outset"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根据竞赛活动需求，提供定制化的设计方案，确保知识竞赛具有吸引力和传播力；利用电视、广播、互联网、社交媒体等多种传播渠道，确保广告法律法规知识信息能够覆盖更广泛的受众群体；在项目的实施过程中确保项目的公益性和社会效益，服务期限为</w:t>
                  </w:r>
                  <w:r>
                    <w:rPr>
                      <w:rFonts w:ascii="仿宋_GB2312" w:hAnsi="仿宋_GB2312" w:cs="仿宋_GB2312" w:eastAsia="仿宋_GB2312"/>
                      <w:sz w:val="21"/>
                    </w:rPr>
                    <w:t>1个月。</w:t>
                  </w:r>
                </w:p>
              </w:tc>
            </w:tr>
            <w:tr>
              <w:tc>
                <w:tcPr>
                  <w:tcW w:type="dxa" w:w="54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rPr>
                    <w:t>3、竞赛内容</w:t>
                  </w:r>
                </w:p>
              </w:tc>
              <w:tc>
                <w:tcPr>
                  <w:tcW w:type="dxa" w:w="1315"/>
                  <w:tcBorders>
                    <w:top w:val="none" w:color="000000" w:sz="4"/>
                    <w:left w:val="none" w:color="000000" w:sz="4"/>
                    <w:bottom w:val="outset" w:color="000000" w:sz="4"/>
                    <w:right w:val="outset"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《广告法》《行政处罚法》《互联网广告管理办法》《广告绝对化用语执法指南》《医疗美容广告执法指南》《药品、医疗</w:t>
                  </w:r>
                  <w:r>
                    <w:rPr>
                      <w:rFonts w:ascii="仿宋_GB2312" w:hAnsi="仿宋_GB2312" w:cs="仿宋_GB2312" w:eastAsia="仿宋_GB2312"/>
                      <w:sz w:val="21"/>
                    </w:rPr>
                    <w:t>器械、保健食品、特殊医学用途配方食品广告审查暂行办法》《关于进一步规范明星广告代言活动的指导意见》等广告监管执法相关知识。</w:t>
                  </w:r>
                </w:p>
                <w:p>
                  <w:pPr>
                    <w:pStyle w:val="null3"/>
                    <w:jc w:val="both"/>
                  </w:pPr>
                </w:p>
              </w:tc>
            </w:tr>
            <w:tr>
              <w:tc>
                <w:tcPr>
                  <w:tcW w:type="dxa" w:w="54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rPr>
                    <w:t>4、竞赛形式与规则</w:t>
                  </w:r>
                </w:p>
                <w:p>
                  <w:pPr>
                    <w:pStyle w:val="null3"/>
                    <w:jc w:val="left"/>
                  </w:pPr>
                </w:p>
              </w:tc>
              <w:tc>
                <w:tcPr>
                  <w:tcW w:type="dxa" w:w="1315"/>
                  <w:tcBorders>
                    <w:top w:val="none" w:color="000000" w:sz="4"/>
                    <w:left w:val="none" w:color="000000" w:sz="4"/>
                    <w:bottom w:val="outset" w:color="000000" w:sz="4"/>
                    <w:right w:val="outset"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（一）参赛对象</w:t>
                  </w:r>
                </w:p>
                <w:p>
                  <w:pPr>
                    <w:pStyle w:val="null3"/>
                    <w:jc w:val="both"/>
                  </w:pPr>
                  <w:r>
                    <w:rPr>
                      <w:rFonts w:ascii="仿宋_GB2312" w:hAnsi="仿宋_GB2312" w:cs="仿宋_GB2312" w:eastAsia="仿宋_GB2312"/>
                      <w:sz w:val="21"/>
                    </w:rPr>
                    <w:t>各级市场监管部门从事广告监管执法工作人员、企事业单位广告从业人员。</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竞赛形式</w:t>
                  </w:r>
                </w:p>
                <w:p>
                  <w:pPr>
                    <w:pStyle w:val="null3"/>
                    <w:jc w:val="both"/>
                  </w:pPr>
                  <w:r>
                    <w:rPr>
                      <w:rFonts w:ascii="仿宋_GB2312" w:hAnsi="仿宋_GB2312" w:cs="仿宋_GB2312" w:eastAsia="仿宋_GB2312"/>
                      <w:sz w:val="21"/>
                    </w:rPr>
                    <w:t>1.预赛</w:t>
                  </w:r>
                </w:p>
                <w:p>
                  <w:pPr>
                    <w:pStyle w:val="null3"/>
                    <w:jc w:val="both"/>
                  </w:pPr>
                  <w:r>
                    <w:rPr>
                      <w:rFonts w:ascii="仿宋_GB2312" w:hAnsi="仿宋_GB2312" w:cs="仿宋_GB2312" w:eastAsia="仿宋_GB2312"/>
                      <w:sz w:val="21"/>
                    </w:rPr>
                    <w:t>各市级局负责组织本辖区内从事广告监管执法人员、广告行</w:t>
                  </w:r>
                </w:p>
                <w:p>
                  <w:pPr>
                    <w:pStyle w:val="null3"/>
                    <w:jc w:val="both"/>
                  </w:pPr>
                  <w:r>
                    <w:rPr>
                      <w:rFonts w:ascii="仿宋_GB2312" w:hAnsi="仿宋_GB2312" w:cs="仿宋_GB2312" w:eastAsia="仿宋_GB2312"/>
                      <w:sz w:val="21"/>
                    </w:rPr>
                    <w:t>业从业人员开展竞赛选拔，最终由各市级局选拔</w:t>
                  </w:r>
                  <w:r>
                    <w:rPr>
                      <w:rFonts w:ascii="仿宋_GB2312" w:hAnsi="仿宋_GB2312" w:cs="仿宋_GB2312" w:eastAsia="仿宋_GB2312"/>
                      <w:sz w:val="21"/>
                    </w:rPr>
                    <w:t>3 名队员（企事业单位参赛人员不超过1人）组成代表队参加决赛。</w:t>
                  </w:r>
                </w:p>
                <w:p>
                  <w:pPr>
                    <w:pStyle w:val="null3"/>
                    <w:jc w:val="both"/>
                  </w:pPr>
                  <w:r>
                    <w:rPr>
                      <w:rFonts w:ascii="仿宋_GB2312" w:hAnsi="仿宋_GB2312" w:cs="仿宋_GB2312" w:eastAsia="仿宋_GB2312"/>
                      <w:sz w:val="21"/>
                    </w:rPr>
                    <w:t>2.决赛</w:t>
                  </w:r>
                </w:p>
                <w:p>
                  <w:pPr>
                    <w:pStyle w:val="null3"/>
                    <w:jc w:val="both"/>
                  </w:pPr>
                  <w:r>
                    <w:rPr>
                      <w:rFonts w:ascii="仿宋_GB2312" w:hAnsi="仿宋_GB2312" w:cs="仿宋_GB2312" w:eastAsia="仿宋_GB2312"/>
                      <w:sz w:val="21"/>
                    </w:rPr>
                    <w:t>决赛采取现场知识竞答的方式进行。决赛设置必答题和抢答</w:t>
                  </w:r>
                </w:p>
                <w:p>
                  <w:pPr>
                    <w:pStyle w:val="null3"/>
                    <w:jc w:val="both"/>
                  </w:pPr>
                  <w:r>
                    <w:rPr>
                      <w:rFonts w:ascii="仿宋_GB2312" w:hAnsi="仿宋_GB2312" w:cs="仿宋_GB2312" w:eastAsia="仿宋_GB2312"/>
                      <w:sz w:val="21"/>
                    </w:rPr>
                    <w:t>题两个环节。基础分</w:t>
                  </w:r>
                  <w:r>
                    <w:rPr>
                      <w:rFonts w:ascii="仿宋_GB2312" w:hAnsi="仿宋_GB2312" w:cs="仿宋_GB2312" w:eastAsia="仿宋_GB2312"/>
                      <w:sz w:val="21"/>
                    </w:rPr>
                    <w:t>100分，规定时间100分钟，现场竞答。必答题题型为选择、填空、判断，答对得分，答错不扣分。抢答题题型为不定项选择、多项选择和简答题，答对得分，答错扣除相应的分值。决赛成绩按照两个环节的成绩总和进行排名。如果出现相同成绩，则相对应的团队进行加时赛，根据加时赛成绩确定最终排名</w:t>
                  </w:r>
                </w:p>
                <w:p>
                  <w:pPr>
                    <w:pStyle w:val="null3"/>
                    <w:jc w:val="both"/>
                  </w:pPr>
                  <w:r>
                    <w:rPr>
                      <w:rFonts w:ascii="仿宋_GB2312" w:hAnsi="仿宋_GB2312" w:cs="仿宋_GB2312" w:eastAsia="仿宋_GB2312"/>
                      <w:sz w:val="21"/>
                    </w:rPr>
                    <w:t>3.比赛要求</w:t>
                  </w:r>
                </w:p>
                <w:p>
                  <w:pPr>
                    <w:pStyle w:val="null3"/>
                    <w:jc w:val="both"/>
                  </w:pPr>
                  <w:r>
                    <w:rPr>
                      <w:rFonts w:ascii="仿宋_GB2312" w:hAnsi="仿宋_GB2312" w:cs="仿宋_GB2312" w:eastAsia="仿宋_GB2312"/>
                      <w:sz w:val="21"/>
                    </w:rPr>
                    <w:t>知识竞赛过程中，选手应尊重裁判委员会及主持人的裁判，如有异议或者主持人无法判断答案正误时，应由裁判委员会研究确定正误，选手答题完毕后，应宣布</w:t>
                  </w:r>
                  <w:r>
                    <w:rPr>
                      <w:rFonts w:ascii="仿宋_GB2312" w:hAnsi="仿宋_GB2312" w:cs="仿宋_GB2312" w:eastAsia="仿宋_GB2312"/>
                      <w:sz w:val="21"/>
                    </w:rPr>
                    <w:t>“回答完毕”。</w:t>
                  </w:r>
                </w:p>
                <w:p>
                  <w:pPr>
                    <w:pStyle w:val="null3"/>
                    <w:jc w:val="both"/>
                  </w:pPr>
                  <w:r>
                    <w:rPr>
                      <w:rFonts w:ascii="仿宋_GB2312" w:hAnsi="仿宋_GB2312" w:cs="仿宋_GB2312" w:eastAsia="仿宋_GB2312"/>
                      <w:sz w:val="21"/>
                    </w:rPr>
                    <w:t>（三）决赛规则</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第一环节</w:t>
                  </w:r>
                  <w:r>
                    <w:rPr>
                      <w:rFonts w:ascii="仿宋_GB2312" w:hAnsi="仿宋_GB2312" w:cs="仿宋_GB2312" w:eastAsia="仿宋_GB2312"/>
                      <w:sz w:val="21"/>
                    </w:rPr>
                    <w:t>半决赛</w:t>
                  </w:r>
                </w:p>
                <w:p>
                  <w:pPr>
                    <w:pStyle w:val="null3"/>
                    <w:jc w:val="both"/>
                  </w:pPr>
                  <w:r>
                    <w:rPr>
                      <w:rFonts w:ascii="仿宋_GB2312" w:hAnsi="仿宋_GB2312" w:cs="仿宋_GB2312" w:eastAsia="仿宋_GB2312"/>
                      <w:sz w:val="21"/>
                    </w:rPr>
                    <w:t>该环节分选手必答题和团队必答题。</w:t>
                  </w:r>
                </w:p>
                <w:p>
                  <w:pPr>
                    <w:pStyle w:val="null3"/>
                    <w:jc w:val="both"/>
                  </w:pPr>
                  <w:r>
                    <w:rPr>
                      <w:rFonts w:ascii="仿宋_GB2312" w:hAnsi="仿宋_GB2312" w:cs="仿宋_GB2312" w:eastAsia="仿宋_GB2312"/>
                      <w:sz w:val="21"/>
                    </w:rPr>
                    <w:t>1、必答题（每题10分）</w:t>
                  </w:r>
                </w:p>
                <w:p>
                  <w:pPr>
                    <w:pStyle w:val="null3"/>
                    <w:jc w:val="both"/>
                  </w:pPr>
                  <w:r>
                    <w:rPr>
                      <w:rFonts w:ascii="仿宋_GB2312" w:hAnsi="仿宋_GB2312" w:cs="仿宋_GB2312" w:eastAsia="仿宋_GB2312"/>
                      <w:sz w:val="21"/>
                    </w:rPr>
                    <w:t>选手必答题共</w:t>
                  </w:r>
                  <w:r>
                    <w:rPr>
                      <w:rFonts w:ascii="仿宋_GB2312" w:hAnsi="仿宋_GB2312" w:cs="仿宋_GB2312" w:eastAsia="仿宋_GB2312"/>
                      <w:sz w:val="21"/>
                    </w:rPr>
                    <w:t>3轮，每轮各参赛队按照选手顺序依次答题；团队必答题共2轮，由每队指定选手答题。指定选手需完成2轮答题。答题选手必须待主持人念完题目，并说出“开始回答”后方可答题，如违反，则记当前回答无效，不得分，失去本轮答题资格；选手回答完毕后，不得再进行补充，答题时间不得超过30秒；当队伍中有1名选手在进行答题时，其他选手不得以任何形式进行提醒或帮助，否则答题无效；答对1题加10分，超时、答错、不答或答不完整的，不得分也不扣分。</w:t>
                  </w:r>
                </w:p>
                <w:p>
                  <w:pPr>
                    <w:pStyle w:val="null3"/>
                    <w:jc w:val="both"/>
                  </w:pPr>
                  <w:r>
                    <w:rPr>
                      <w:rFonts w:ascii="仿宋_GB2312" w:hAnsi="仿宋_GB2312" w:cs="仿宋_GB2312" w:eastAsia="仿宋_GB2312"/>
                      <w:sz w:val="21"/>
                    </w:rPr>
                    <w:t>必答题环节结束后，根据得分从高到低顺序，确定前</w:t>
                  </w:r>
                  <w:r>
                    <w:rPr>
                      <w:rFonts w:ascii="仿宋_GB2312" w:hAnsi="仿宋_GB2312" w:cs="仿宋_GB2312" w:eastAsia="仿宋_GB2312"/>
                      <w:sz w:val="21"/>
                    </w:rPr>
                    <w:t>6名团队进入决赛环节。如果第6名团队存在相同分数，则相应团队进入风险题环节。</w:t>
                  </w:r>
                </w:p>
                <w:p>
                  <w:pPr>
                    <w:pStyle w:val="null3"/>
                    <w:jc w:val="both"/>
                  </w:pPr>
                  <w:r>
                    <w:rPr>
                      <w:rFonts w:ascii="仿宋_GB2312" w:hAnsi="仿宋_GB2312" w:cs="仿宋_GB2312" w:eastAsia="仿宋_GB2312"/>
                      <w:sz w:val="21"/>
                    </w:rPr>
                    <w:t>2、风险题（如第6名团队不存在相同分数，不进行此环节）</w:t>
                  </w:r>
                </w:p>
                <w:p>
                  <w:pPr>
                    <w:pStyle w:val="null3"/>
                    <w:jc w:val="both"/>
                  </w:pPr>
                  <w:r>
                    <w:rPr>
                      <w:rFonts w:ascii="仿宋_GB2312" w:hAnsi="仿宋_GB2312" w:cs="仿宋_GB2312" w:eastAsia="仿宋_GB2312"/>
                      <w:sz w:val="21"/>
                    </w:rPr>
                    <w:t>风险题环节采用抽签形式，各团队根据抽取的的分值，回答相应的题目。答对得分，答错扣分，分高者进入决赛。主持人宣读题目前选择</w:t>
                  </w:r>
                  <w:r>
                    <w:rPr>
                      <w:rFonts w:ascii="仿宋_GB2312" w:hAnsi="仿宋_GB2312" w:cs="仿宋_GB2312" w:eastAsia="仿宋_GB2312"/>
                      <w:sz w:val="21"/>
                    </w:rPr>
                    <w:t>1名队员回答，题目只念1遍，其他选手不得以任何形式进行提醒或帮助，否则答题无效；选手回答完毕后，不得再进行补充，简答题答题时间不超过3分钟，其它题型答题时间不得超过1分钟；答对加相应的分数，超时、答错、不答或答不完整的扣取相应的分数。风险题环节得分不计入总成绩，只作为判断同分队伍进入决赛的依据。</w:t>
                  </w:r>
                </w:p>
                <w:p>
                  <w:pPr>
                    <w:pStyle w:val="null3"/>
                    <w:jc w:val="both"/>
                  </w:pPr>
                  <w:r>
                    <w:rPr>
                      <w:rFonts w:ascii="仿宋_GB2312" w:hAnsi="仿宋_GB2312" w:cs="仿宋_GB2312" w:eastAsia="仿宋_GB2312"/>
                      <w:sz w:val="21"/>
                    </w:rPr>
                    <w:t>………………………中场休息10分钟………………………</w:t>
                  </w:r>
                </w:p>
                <w:p>
                  <w:pPr>
                    <w:pStyle w:val="null3"/>
                    <w:jc w:val="both"/>
                  </w:pPr>
                  <w:r>
                    <w:rPr>
                      <w:rFonts w:ascii="仿宋_GB2312" w:hAnsi="仿宋_GB2312" w:cs="仿宋_GB2312" w:eastAsia="仿宋_GB2312"/>
                      <w:sz w:val="21"/>
                    </w:rPr>
                    <w:t>第二个环节</w:t>
                  </w:r>
                  <w:r>
                    <w:rPr>
                      <w:rFonts w:ascii="仿宋_GB2312" w:hAnsi="仿宋_GB2312" w:cs="仿宋_GB2312" w:eastAsia="仿宋_GB2312"/>
                      <w:sz w:val="21"/>
                    </w:rPr>
                    <w:t>决赛</w:t>
                  </w:r>
                </w:p>
                <w:p>
                  <w:pPr>
                    <w:pStyle w:val="null3"/>
                    <w:jc w:val="both"/>
                  </w:pPr>
                  <w:r>
                    <w:rPr>
                      <w:rFonts w:ascii="仿宋_GB2312" w:hAnsi="仿宋_GB2312" w:cs="仿宋_GB2312" w:eastAsia="仿宋_GB2312"/>
                      <w:sz w:val="21"/>
                    </w:rPr>
                    <w:t>该环节为抢答题。共</w:t>
                  </w:r>
                  <w:r>
                    <w:rPr>
                      <w:rFonts w:ascii="仿宋_GB2312" w:hAnsi="仿宋_GB2312" w:cs="仿宋_GB2312" w:eastAsia="仿宋_GB2312"/>
                      <w:sz w:val="21"/>
                    </w:rPr>
                    <w:t>6轮，设10分、20分、30分题目。</w:t>
                  </w:r>
                </w:p>
                <w:p>
                  <w:pPr>
                    <w:pStyle w:val="null3"/>
                    <w:jc w:val="both"/>
                  </w:pPr>
                  <w:r>
                    <w:rPr>
                      <w:rFonts w:ascii="仿宋_GB2312" w:hAnsi="仿宋_GB2312" w:cs="仿宋_GB2312" w:eastAsia="仿宋_GB2312"/>
                      <w:sz w:val="21"/>
                    </w:rPr>
                    <w:t>决赛采用抢答方式。进入决赛团队在每轮抢答环节，先通过抢答器抢答题权，在主持人说出</w:t>
                  </w:r>
                  <w:r>
                    <w:rPr>
                      <w:rFonts w:ascii="仿宋_GB2312" w:hAnsi="仿宋_GB2312" w:cs="仿宋_GB2312" w:eastAsia="仿宋_GB2312"/>
                      <w:sz w:val="21"/>
                    </w:rPr>
                    <w:t>“开始抢答”后，选手方可按抢答器抢答，提前抢答视为犯规扣10分。</w:t>
                  </w:r>
                </w:p>
                <w:p>
                  <w:pPr>
                    <w:pStyle w:val="null3"/>
                    <w:jc w:val="both"/>
                  </w:pPr>
                  <w:r>
                    <w:rPr>
                      <w:rFonts w:ascii="仿宋_GB2312" w:hAnsi="仿宋_GB2312" w:cs="仿宋_GB2312" w:eastAsia="仿宋_GB2312"/>
                      <w:sz w:val="21"/>
                    </w:rPr>
                    <w:t>抢到答题权后选择任意分值（</w:t>
                  </w:r>
                  <w:r>
                    <w:rPr>
                      <w:rFonts w:ascii="仿宋_GB2312" w:hAnsi="仿宋_GB2312" w:cs="仿宋_GB2312" w:eastAsia="仿宋_GB2312"/>
                      <w:sz w:val="21"/>
                    </w:rPr>
                    <w:t>10、20、30分）的题目进行答题。答题时1名选手主答，同队其他选手可以提示、补充，以最后的答案为准，简答题答题时间不超过3分钟，其它题型答题时间不得超过1分钟；选手说出“答题完毕”后，不得再进行补充。答对加分，超时、答错、不答或答不完整的扣分。</w:t>
                  </w:r>
                </w:p>
                <w:p>
                  <w:pPr>
                    <w:pStyle w:val="null3"/>
                    <w:jc w:val="both"/>
                  </w:pPr>
                  <w:r>
                    <w:rPr>
                      <w:rFonts w:ascii="仿宋_GB2312" w:hAnsi="仿宋_GB2312" w:cs="仿宋_GB2312" w:eastAsia="仿宋_GB2312"/>
                      <w:sz w:val="21"/>
                    </w:rPr>
                    <w:t>6轮结束后，如出现同分情况，进行加赛，加赛题成绩不计入总分，仅作为判断同分队伍名次的依据。</w:t>
                  </w:r>
                </w:p>
                <w:p>
                  <w:pPr>
                    <w:pStyle w:val="null3"/>
                    <w:jc w:val="both"/>
                  </w:pPr>
                  <w:r>
                    <w:rPr>
                      <w:rFonts w:ascii="仿宋_GB2312" w:hAnsi="仿宋_GB2312" w:cs="仿宋_GB2312" w:eastAsia="仿宋_GB2312"/>
                      <w:sz w:val="21"/>
                    </w:rPr>
                    <w:t>以上为本次知识竞赛比赛规则，未尽事宜以裁判委员会现场公布规则为准。</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能满足服务要求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能满足服务要求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一、题目内容与题库设计 1. 核心法律法规 《中华人民共和国广告法》《互联网广告管理办法》《行政处罚法》》《广告绝对化用语执法指南》《医疗美容广告执法指南》《药品、医疗器械、保健食品、特殊医学用途配方食品广告审查暂行办法》《关于进一步规范明星广告代言活动的指导意见》 等相关法律法规。 2. 题目类型 必答题：法律条文原文、适用范围、处罚标准（例：医疗广告禁用词汇）。 抢答题：虚假宣传、绝对化用语、未成年人广告等典型违规场景。 风险题：设计广告文案，判断是否合规并说明理由。 3. 题库建设 邀请法律专家、市场监管部门联合命题，确保权威性。 定期更新题库，纳入最新政策（如AI生成广告、直播带货合规要求）。 二、技术支持与平台需求 1.决赛支持： 抢答器、计时屏、实时计分系统。 直播设备（扩大影响力，支持观众线上互动）。 2.安全与合规： 用户隐私保护（符合《个人信息保护法》）。 三、宣传与推广策略 1.宣传渠道 政府部门：省市场监管局官网、微信公众号。 行业协会：省广告协会。 高校合作：培华学院、西京学院等传媒学院联合推广。 社交媒体：抖音、微信视频号发布竞赛预热。 2.激励机制 奖项设置：证书、合规培训名额。 荣誉激励：优秀选手纳入“省级广告管理专家库”。 四、风险控制 1.法律风险 确保题目不涉及敏感内容，引用法规条文准确无误。 2.技术风险 提前设备测试，防止答题系统崩溃。</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陕西省市场监督管理局指定地点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达到采购服务要求，现场验收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合同签订后，达到付款条件之日</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验收通过后，达到付款条件之日</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（一）按《中华人民共和国民法典》中的相关条款执行。（二）未按合同要求的提供服务或服务质量不能满足采购人要求，甲方有权终止合同，甚至对供方违约行为进行追究。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经审计的财务报告（包括“四表一注”，即资产负债表、利润表、现金流量表、所有者权益变动表及其附注，成立时间至提交响应文件截止时间不足一年的可提供成立后任意时段的资产负债表），或其开标前六个月内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9月至今已缴存的至少一个月的依法缴纳税款的相关凭据（时间以税款所属日期为准、税种须包含增值税或企业所得税），凭据应有税务机关或代收机关的公章或业务专用章。依法免税或无须缴纳税款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提供2024年9月至今已缴存的至少一个月的社会保障资金缴存单据或社保机构开具的社会保险参保缴费情况证明，依法不需要缴纳社会保障资金的单位应提供相关证明材料。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法定代表人授权书及被授权人身份证明。（法定代表人直接磋商只须提交其身份证明）。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本项目专门面向中小微企业采购，供应商须为小微企业，提供中小企业声明函。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项目理解分析</w:t>
            </w:r>
          </w:p>
        </w:tc>
        <w:tc>
          <w:tcPr>
            <w:tcW w:type="dxa" w:w="2492"/>
          </w:tcPr>
          <w:p>
            <w:pPr>
              <w:pStyle w:val="null3"/>
            </w:pPr>
            <w:r>
              <w:rPr>
                <w:rFonts w:ascii="仿宋_GB2312" w:hAnsi="仿宋_GB2312" w:cs="仿宋_GB2312" w:eastAsia="仿宋_GB2312"/>
              </w:rPr>
              <w:t>供应商根据经验对本项目背景、项目要求、工作任务等进行理解及分析。要求对项目背景分析详细、清晰，项目要求理解全面深入、工作任务描述精准，理解到位。 赋分标准：符合本项目需求及评审标准的得10分，内容每缺陷1项扣1分。本项不计负分，未响应不计分。内容缺陷是指：非专门针对本项目或不适用本项目的情形、内容不完整或缺少关键内容、内容阐述逻辑不清或或过于简略或存在与项目无关内容的，属于照搬照抄采购文件内容的，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设计方案：</w:t>
            </w:r>
          </w:p>
        </w:tc>
        <w:tc>
          <w:tcPr>
            <w:tcW w:type="dxa" w:w="2492"/>
          </w:tcPr>
          <w:p>
            <w:pPr>
              <w:pStyle w:val="null3"/>
            </w:pPr>
            <w:r>
              <w:rPr>
                <w:rFonts w:ascii="仿宋_GB2312" w:hAnsi="仿宋_GB2312" w:cs="仿宋_GB2312" w:eastAsia="仿宋_GB2312"/>
              </w:rPr>
              <w:t>针对本项目竞赛活动需求，提供定制化的设计方案，方案应包括：①筹备策划；②现场服务；③组织协调；④风险管控；⑤应急预案及措施等。 赋分标准：方案全面，对评审内容的各项要求有详细描述，内容科学合理，切合本项目实际情况，每个评审标准得4分，满分20分，每个评审标准内容缺陷1项扣0.5分。本项不计负分，未响应不计分。内容缺陷是指：非专门针对本项目或不适用本项目的情形、内容不完整或缺少关键内容、内容阐述逻辑不清或或过于简略或存在与项目无关内容的，属于照搬照抄采购文件内容的，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决赛保障方案：</w:t>
            </w:r>
          </w:p>
        </w:tc>
        <w:tc>
          <w:tcPr>
            <w:tcW w:type="dxa" w:w="2492"/>
          </w:tcPr>
          <w:p>
            <w:pPr>
              <w:pStyle w:val="null3"/>
            </w:pPr>
            <w:r>
              <w:rPr>
                <w:rFonts w:ascii="仿宋_GB2312" w:hAnsi="仿宋_GB2312" w:cs="仿宋_GB2312" w:eastAsia="仿宋_GB2312"/>
              </w:rPr>
              <w:t>针对本项目决赛活动需求提供决赛活动保障方案，方案应包括：①场地选择；②现场布置；③现场环境卫生保障措施；④媒体宣传；⑤视频制作；⑥安全保障措施；⑦参会代表的住宿餐饮；⑧紧急应急预案等。 赋分标准：方案全面，对评审内容的各项要求有详细描述，内容科学合理，切合本项目实际情况，每个评审标准得3分，满分24分，每个评审标准内容缺陷1项扣0.5分。本项不计负分，未响应不计分。内容缺陷是指：非专门针对本项目或不适用本项目的情形、内容不完整或缺少关键内容、内容阐述逻辑不清或或过于简略或存在与项目无关内容的，属于照搬照抄采购文件内容的，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度保障方案：</w:t>
            </w:r>
          </w:p>
        </w:tc>
        <w:tc>
          <w:tcPr>
            <w:tcW w:type="dxa" w:w="2492"/>
          </w:tcPr>
          <w:p>
            <w:pPr>
              <w:pStyle w:val="null3"/>
            </w:pPr>
            <w:r>
              <w:rPr>
                <w:rFonts w:ascii="仿宋_GB2312" w:hAnsi="仿宋_GB2312" w:cs="仿宋_GB2312" w:eastAsia="仿宋_GB2312"/>
              </w:rPr>
              <w:t>据本项目实际需求及特点，制定进度保障方案，方案应包括：①各阶段工作流程；②进度计划目标；③进度控制措施;。 赋分标准：方案全面，对评审内容的各项要求有详细描述，内容科学合理，切合本项目实际情况，每个评审标准得2分，满分6分，每个评审标准内容缺陷1项扣0.5分。本项不计负分，未响应不计分。内容缺陷是指：非专门针对本项目或不适用本项目的情形、内容不完整或缺少关键内容、内容阐述逻辑不清或或过于简略或存在与项目无关内容的，属于照搬照抄采购文件内容的，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根据本项目实际需求及特点，制定质量保障措施，确保竞赛活动安全合规，不涉及敏感问题并能够顺利开展。要求方案全面，对评审内容的各项要求有详细描述，内容科学合理，切合本项目实际情况。 赋分标准：符合本项目需求及评审标准的得10分，内容每缺陷1项扣1分。本项不计负分，未响应不计分。内容缺陷是指：非专门针对本项目或不适用本项目的情形、内容不完整或缺少关键内容、内容阐述逻辑不清或或过于简略或存在与项目无关内容的，属于照搬照抄采购文件内容的，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服务保障团队</w:t>
            </w:r>
          </w:p>
        </w:tc>
        <w:tc>
          <w:tcPr>
            <w:tcW w:type="dxa" w:w="2492"/>
          </w:tcPr>
          <w:p>
            <w:pPr>
              <w:pStyle w:val="null3"/>
            </w:pPr>
            <w:r>
              <w:rPr>
                <w:rFonts w:ascii="仿宋_GB2312" w:hAnsi="仿宋_GB2312" w:cs="仿宋_GB2312" w:eastAsia="仿宋_GB2312"/>
              </w:rPr>
              <w:t>根据本项目实际需求及特点，制定服务保障团队配备方案，人员配备应充足合理，能满足服务要求。方案应包括：①人员计划安排；②岗位职责划分；③项目负责人沟通协调能力；④项目负责人处置突发事件的能力。 赋分标准：方案全面，对评审内容的各项要求有详细描述，内容科学合理，切合本项目实际情况，每个评审标准得2分，满分8分，每个评审标准内容缺陷1项扣0.5分。本项不计负分，未响应不计分。内容缺陷是指：非专门针对本项目或不适用本项目的情形、内容不完整或缺少关键内容、内容阐述逻辑不清或或过于简略或存在与项目无关内容的，属于照搬照抄采购文件内容的，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根据对本项目需求与要求的分析，提出适用于本项目提高影响力的合理化建议。 赋分标准：提出的建议科学合理，能实质性提升本项目活动影响力，每提出一条得1分，最高得2分；提出的内容对本项目无提升或未响应不计分。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同类业绩：</w:t>
            </w:r>
          </w:p>
        </w:tc>
        <w:tc>
          <w:tcPr>
            <w:tcW w:type="dxa" w:w="2492"/>
          </w:tcPr>
          <w:p>
            <w:pPr>
              <w:pStyle w:val="null3"/>
            </w:pPr>
            <w:r>
              <w:rPr>
                <w:rFonts w:ascii="仿宋_GB2312" w:hAnsi="仿宋_GB2312" w:cs="仿宋_GB2312" w:eastAsia="仿宋_GB2312"/>
              </w:rPr>
              <w:t>提供2022年1月1日至今类似项目（知识竞赛类）业绩，每提供1份得2分，最高10分。 赋分标准：①业绩以合同为准，时间以合同签订时间为准。②需提供合同（至少包括首页、内容页、盖章页）复印件。未响应不计分。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价格分：价格分统一采用低价优先法计算，即满足磋商文件要求且磋商价格最低的磋商报价为磋商基准价，其价格分为满分。其他供应商的价格分统一按照下列公式计算： P=10×Pmin/ Pn 其中：Pmin：所有有效供应商的最后报价的最低报价。 Pn：第n个供应商的最后报价。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