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A16AA">
      <w:pPr>
        <w:pStyle w:val="5"/>
        <w:numPr>
          <w:ilvl w:val="0"/>
          <w:numId w:val="1"/>
        </w:numPr>
        <w:jc w:val="center"/>
        <w:outlineLvl w:val="1"/>
        <w:rPr>
          <w:rFonts w:ascii="仿宋_GB2312" w:hAnsi="仿宋_GB2312" w:eastAsia="仿宋_GB2312" w:cs="仿宋_GB2312"/>
          <w:b/>
          <w:sz w:val="36"/>
        </w:rPr>
      </w:pPr>
      <w:r>
        <w:rPr>
          <w:rFonts w:ascii="仿宋_GB2312" w:hAnsi="仿宋_GB2312" w:eastAsia="仿宋_GB2312" w:cs="仿宋_GB2312"/>
          <w:b/>
          <w:sz w:val="36"/>
        </w:rPr>
        <w:t>拟签订采购合同文本</w:t>
      </w:r>
    </w:p>
    <w:p w14:paraId="6925E380">
      <w:pPr>
        <w:pStyle w:val="5"/>
        <w:numPr>
          <w:ilvl w:val="0"/>
          <w:numId w:val="0"/>
        </w:numPr>
        <w:jc w:val="center"/>
        <w:outlineLvl w:val="1"/>
        <w:rPr>
          <w:rFonts w:hint="eastAsia" w:ascii="仿宋_GB2312" w:hAnsi="仿宋_GB2312" w:eastAsia="仿宋_GB2312" w:cs="仿宋_GB2312"/>
          <w:b/>
          <w:sz w:val="36"/>
          <w:lang w:eastAsia="zh-CN"/>
        </w:rPr>
      </w:pPr>
      <w:r>
        <w:rPr>
          <w:rFonts w:hint="eastAsia" w:ascii="仿宋_GB2312" w:hAnsi="仿宋_GB2312" w:eastAsia="仿宋_GB2312" w:cs="仿宋_GB2312"/>
          <w:b/>
          <w:sz w:val="36"/>
          <w:lang w:eastAsia="zh-CN"/>
        </w:rPr>
        <w:t>（</w:t>
      </w:r>
      <w:r>
        <w:rPr>
          <w:rFonts w:hint="eastAsia" w:ascii="仿宋_GB2312" w:hAnsi="仿宋_GB2312" w:eastAsia="仿宋_GB2312" w:cs="仿宋_GB2312"/>
          <w:b/>
          <w:sz w:val="36"/>
          <w:lang w:val="en-US" w:eastAsia="zh-CN"/>
        </w:rPr>
        <w:t>参考格式</w:t>
      </w:r>
      <w:r>
        <w:rPr>
          <w:rFonts w:hint="eastAsia" w:ascii="仿宋_GB2312" w:hAnsi="仿宋_GB2312" w:eastAsia="仿宋_GB2312" w:cs="仿宋_GB2312"/>
          <w:b/>
          <w:sz w:val="36"/>
          <w:lang w:eastAsia="zh-CN"/>
        </w:rPr>
        <w:t>）</w:t>
      </w:r>
    </w:p>
    <w:p w14:paraId="6F07BFB1">
      <w:pPr>
        <w:pStyle w:val="5"/>
        <w:keepNext w:val="0"/>
        <w:keepLines w:val="0"/>
        <w:pageBreakBefore w:val="0"/>
        <w:numPr>
          <w:ilvl w:val="0"/>
          <w:numId w:val="0"/>
        </w:numPr>
        <w:kinsoku/>
        <w:wordWrap/>
        <w:overflowPunct/>
        <w:topLinePunct w:val="0"/>
        <w:autoSpaceDE/>
        <w:autoSpaceDN/>
        <w:bidi w:val="0"/>
        <w:adjustRightInd/>
        <w:snapToGrid/>
        <w:spacing w:line="360" w:lineRule="auto"/>
        <w:ind w:left="399" w:leftChars="190" w:firstLine="0" w:firstLineChars="0"/>
        <w:jc w:val="both"/>
        <w:textAlignment w:val="auto"/>
        <w:outlineLvl w:val="1"/>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采购人（以下简称甲方）：</w:t>
      </w:r>
    </w:p>
    <w:p w14:paraId="0EEA16D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供应商（以下简称乙方）：</w:t>
      </w:r>
    </w:p>
    <w:p w14:paraId="447F7292">
      <w:pPr>
        <w:spacing w:line="360" w:lineRule="auto"/>
        <w:ind w:firstLine="400" w:firstLineChars="200"/>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rPr>
        <w:t>根据《中华人民共和国民法典》、《中华人民共和国政府采购法》及其它有关法律、行政法规，为明确双方在施工过程中的权利、义务，经双方协商自愿签订本合同。</w:t>
      </w:r>
    </w:p>
    <w:p w14:paraId="4AC34E37">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一、合同组成</w:t>
      </w:r>
    </w:p>
    <w:p w14:paraId="08577343">
      <w:pPr>
        <w:autoSpaceDE w:val="0"/>
        <w:autoSpaceDN w:val="0"/>
        <w:adjustRightInd w:val="0"/>
        <w:spacing w:line="360" w:lineRule="auto"/>
        <w:ind w:left="48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下述文件是构成本合同不可分割的部分</w:t>
      </w:r>
      <w:r>
        <w:rPr>
          <w:rFonts w:hint="eastAsia" w:ascii="仿宋" w:hAnsi="仿宋" w:eastAsia="仿宋" w:cs="仿宋"/>
          <w:color w:val="auto"/>
          <w:sz w:val="20"/>
          <w:szCs w:val="20"/>
          <w:highlight w:val="none"/>
        </w:rPr>
        <w:t>:</w:t>
      </w:r>
    </w:p>
    <w:p w14:paraId="79653D9A">
      <w:pPr>
        <w:autoSpaceDE w:val="0"/>
        <w:autoSpaceDN w:val="0"/>
        <w:adjustRightInd w:val="0"/>
        <w:spacing w:line="360" w:lineRule="auto"/>
        <w:ind w:left="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val="zh-CN"/>
        </w:rPr>
        <w:t>本合同条款及其所有附件。</w:t>
      </w:r>
    </w:p>
    <w:p w14:paraId="3E1D0BA2">
      <w:pPr>
        <w:autoSpaceDE w:val="0"/>
        <w:autoSpaceDN w:val="0"/>
        <w:adjustRightInd w:val="0"/>
        <w:spacing w:line="360" w:lineRule="auto"/>
        <w:ind w:firstLine="48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zh-CN"/>
        </w:rPr>
        <w:t>磋商文件及澄清文件。</w:t>
      </w:r>
    </w:p>
    <w:p w14:paraId="65B509AE">
      <w:pPr>
        <w:autoSpaceDE w:val="0"/>
        <w:autoSpaceDN w:val="0"/>
        <w:adjustRightInd w:val="0"/>
        <w:spacing w:line="360" w:lineRule="auto"/>
        <w:ind w:firstLine="480"/>
        <w:jc w:val="left"/>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val="zh-CN"/>
        </w:rPr>
        <w:t>乙方的磋商响应文件及质疑解答文件。</w:t>
      </w:r>
    </w:p>
    <w:p w14:paraId="52B4385C">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w:t>
      </w: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val="zh-CN"/>
        </w:rPr>
        <w:t>成交通知书。</w:t>
      </w:r>
    </w:p>
    <w:p w14:paraId="70EEBD13">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（5）</w:t>
      </w:r>
      <w:r>
        <w:rPr>
          <w:rFonts w:hint="eastAsia" w:ascii="仿宋" w:hAnsi="仿宋" w:eastAsia="仿宋" w:cs="仿宋"/>
          <w:color w:val="auto"/>
          <w:sz w:val="20"/>
          <w:szCs w:val="20"/>
          <w:highlight w:val="none"/>
          <w:lang w:val="zh-CN"/>
        </w:rPr>
        <w:t>法定代表人授权书。</w:t>
      </w:r>
    </w:p>
    <w:p w14:paraId="707A98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（6）双方与合同有关的往来信函、传真经双方法定代表人或其授权代表签字并加盖单位公章确认后视为本合同的组成部分。</w:t>
      </w:r>
    </w:p>
    <w:p w14:paraId="337D17EC">
      <w:pPr>
        <w:autoSpaceDE w:val="0"/>
        <w:autoSpaceDN w:val="0"/>
        <w:adjustRightInd w:val="0"/>
        <w:spacing w:line="360" w:lineRule="auto"/>
        <w:ind w:firstLine="48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rPr>
        <w:t>（7）经双方法定代表人或其授权代表签字并加盖单位公章确认的补充协议。</w:t>
      </w:r>
    </w:p>
    <w:p w14:paraId="0D13C1B2">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val="zh-CN"/>
        </w:rPr>
        <w:t>如果乙方的磋商响应文件及质疑解答文件内容违背或低于磋商文件要求或任何可能导致影响当次采购目的的情形，均应当被视为乙方自动放弃磋商响应文件及质疑解答文件中相应部分而同意以磋商文件相应内容为准。如果乙方的磋商响应文件及质疑解答文件内容高于磋商文件要求，则以乙方的磋商响应文件及质疑解答文件内容为准。如果合同条款与合同附件有矛盾之处，以合同条款内容为准。</w:t>
      </w:r>
      <w:r>
        <w:rPr>
          <w:rFonts w:hint="eastAsia" w:ascii="仿宋" w:hAnsi="仿宋" w:eastAsia="仿宋" w:cs="仿宋"/>
          <w:color w:val="auto"/>
          <w:sz w:val="20"/>
          <w:szCs w:val="20"/>
          <w:highlight w:val="none"/>
        </w:rPr>
        <w:t>如果合同附件之间有矛盾之处，以有利于甲方的附件内容为准。</w:t>
      </w:r>
    </w:p>
    <w:p w14:paraId="0180E684">
      <w:pPr>
        <w:overflowPunct w:val="0"/>
        <w:spacing w:after="120" w:afterLines="50" w:line="360" w:lineRule="auto"/>
        <w:ind w:firstLine="480"/>
        <w:rPr>
          <w:rFonts w:hint="eastAsia" w:ascii="仿宋" w:hAnsi="仿宋" w:eastAsia="仿宋" w:cs="仿宋"/>
          <w:b/>
          <w:bCs/>
          <w:color w:val="auto"/>
          <w:sz w:val="20"/>
          <w:szCs w:val="20"/>
          <w:highlight w:val="none"/>
        </w:rPr>
      </w:pPr>
      <w:r>
        <w:rPr>
          <w:rFonts w:hint="eastAsia" w:ascii="仿宋" w:hAnsi="仿宋" w:eastAsia="仿宋" w:cs="仿宋"/>
          <w:color w:val="auto"/>
          <w:sz w:val="20"/>
          <w:szCs w:val="20"/>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28C91574">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二、项目概况</w:t>
      </w:r>
    </w:p>
    <w:p w14:paraId="5C74D8E5">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bCs/>
          <w:color w:val="auto"/>
          <w:sz w:val="20"/>
          <w:szCs w:val="20"/>
          <w:highlight w:val="none"/>
        </w:rPr>
        <w:t>1.服务内容：</w:t>
      </w:r>
      <w:r>
        <w:rPr>
          <w:rFonts w:hint="eastAsia" w:ascii="仿宋" w:hAnsi="仿宋" w:eastAsia="仿宋" w:cs="仿宋"/>
          <w:color w:val="auto"/>
          <w:sz w:val="20"/>
          <w:szCs w:val="20"/>
          <w:highlight w:val="none"/>
          <w:lang w:val="en-US" w:eastAsia="zh-CN"/>
        </w:rPr>
        <w:t>为</w:t>
      </w:r>
      <w:r>
        <w:rPr>
          <w:rFonts w:hint="eastAsia" w:ascii="仿宋" w:hAnsi="仿宋" w:eastAsia="仿宋" w:cs="仿宋"/>
          <w:color w:val="auto"/>
          <w:sz w:val="20"/>
          <w:szCs w:val="20"/>
          <w:highlight w:val="none"/>
          <w:lang w:eastAsia="zh-CN"/>
        </w:rPr>
        <w:t>全面提高学校、医院、养老院、机关等集中用餐单位食堂经营管理水平，对全省12个地市开展的集中用餐单位食堂标准化体系建设评价情况进行复核，每个地市复核10家集中用餐单位，计划评定120家。</w:t>
      </w:r>
    </w:p>
    <w:p w14:paraId="3341A8C6">
      <w:pPr>
        <w:pStyle w:val="5"/>
        <w:ind w:firstLine="400" w:firstLineChars="200"/>
        <w:rPr>
          <w:rFonts w:hint="default" w:ascii="仿宋" w:hAnsi="仿宋" w:eastAsia="仿宋" w:cs="仿宋"/>
          <w:highlight w:val="none"/>
          <w:lang w:val="en-US" w:eastAsia="zh-CN"/>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服务</w:t>
      </w:r>
      <w:r>
        <w:rPr>
          <w:rFonts w:hint="eastAsia" w:ascii="仿宋" w:hAnsi="仿宋" w:eastAsia="仿宋" w:cs="仿宋"/>
          <w:color w:val="auto"/>
          <w:sz w:val="20"/>
          <w:szCs w:val="20"/>
          <w:highlight w:val="none"/>
        </w:rPr>
        <w:t>期：</w:t>
      </w:r>
      <w:r>
        <w:rPr>
          <w:rFonts w:hint="eastAsia" w:ascii="仿宋" w:hAnsi="仿宋" w:eastAsia="仿宋" w:cs="仿宋"/>
          <w:highlight w:val="none"/>
          <w:lang w:val="en-US" w:eastAsia="zh-CN"/>
        </w:rPr>
        <w:t>自合同签订之日起2025年10月31日前</w:t>
      </w:r>
    </w:p>
    <w:p w14:paraId="3F5FC61E">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服务地点：</w:t>
      </w:r>
      <w:r>
        <w:rPr>
          <w:rFonts w:hint="eastAsia" w:ascii="仿宋" w:hAnsi="仿宋" w:eastAsia="仿宋" w:cs="仿宋"/>
        </w:rPr>
        <w:t>服务要求</w:t>
      </w:r>
      <w:r>
        <w:rPr>
          <w:rFonts w:hint="eastAsia" w:ascii="仿宋" w:hAnsi="仿宋" w:eastAsia="仿宋" w:cs="仿宋"/>
          <w:lang w:val="en-US" w:eastAsia="zh-CN"/>
        </w:rPr>
        <w:t>中的</w:t>
      </w:r>
      <w:r>
        <w:rPr>
          <w:rFonts w:hint="eastAsia" w:ascii="仿宋" w:hAnsi="仿宋" w:eastAsia="仿宋" w:cs="仿宋"/>
        </w:rPr>
        <w:t>指定地点</w:t>
      </w:r>
    </w:p>
    <w:p w14:paraId="14846EDC">
      <w:pPr>
        <w:pStyle w:val="5"/>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4.验收要求</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lang w:val="en-US" w:eastAsia="zh-CN"/>
        </w:rPr>
        <w:t>根据集中用餐单位食堂标准化体系建设评价建设进度在规定时限内开展相应阶段的验收工作，全部支出项目评价验收完成后提交完整规范的验收过程资料、复核结论等纸质档文件合订本</w:t>
      </w:r>
      <w:r>
        <w:rPr>
          <w:rFonts w:hint="eastAsia" w:ascii="仿宋" w:hAnsi="仿宋" w:eastAsia="仿宋" w:cs="仿宋"/>
          <w:color w:val="auto"/>
          <w:sz w:val="20"/>
          <w:szCs w:val="20"/>
          <w:highlight w:val="none"/>
        </w:rPr>
        <w:t>。</w:t>
      </w:r>
    </w:p>
    <w:p w14:paraId="08975948">
      <w:pPr>
        <w:spacing w:before="120" w:after="120" w:line="360" w:lineRule="auto"/>
        <w:rPr>
          <w:rFonts w:hint="eastAsia" w:ascii="仿宋" w:hAnsi="仿宋" w:eastAsia="仿宋" w:cs="仿宋"/>
          <w:b/>
          <w:color w:val="auto"/>
          <w:sz w:val="20"/>
          <w:szCs w:val="20"/>
          <w:highlight w:val="none"/>
        </w:rPr>
      </w:pPr>
      <w:r>
        <w:rPr>
          <w:rFonts w:hint="eastAsia" w:ascii="仿宋" w:hAnsi="仿宋" w:eastAsia="仿宋" w:cs="仿宋"/>
          <w:b/>
          <w:color w:val="auto"/>
          <w:sz w:val="20"/>
          <w:szCs w:val="20"/>
          <w:highlight w:val="none"/>
        </w:rPr>
        <w:t>三、</w:t>
      </w:r>
      <w:r>
        <w:rPr>
          <w:rFonts w:hint="eastAsia" w:ascii="仿宋" w:hAnsi="仿宋" w:eastAsia="仿宋" w:cs="仿宋"/>
          <w:b/>
          <w:bCs/>
          <w:color w:val="auto"/>
          <w:sz w:val="20"/>
          <w:szCs w:val="20"/>
          <w:highlight w:val="none"/>
        </w:rPr>
        <w:t>合同价款及付款比例</w:t>
      </w:r>
    </w:p>
    <w:p w14:paraId="64A13DB1">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bCs/>
          <w:color w:val="auto"/>
          <w:sz w:val="20"/>
          <w:szCs w:val="20"/>
          <w:highlight w:val="none"/>
        </w:rPr>
        <w:t>1.合同价款：</w:t>
      </w:r>
      <w:r>
        <w:rPr>
          <w:rFonts w:hint="eastAsia" w:ascii="仿宋" w:hAnsi="仿宋" w:eastAsia="仿宋" w:cs="仿宋"/>
          <w:bCs/>
          <w:color w:val="auto"/>
          <w:sz w:val="20"/>
          <w:szCs w:val="20"/>
          <w:highlight w:val="none"/>
          <w:lang w:val="en-US" w:eastAsia="zh-CN"/>
        </w:rPr>
        <w:t>本</w:t>
      </w:r>
      <w:r>
        <w:rPr>
          <w:rFonts w:hint="eastAsia" w:ascii="仿宋" w:hAnsi="仿宋" w:eastAsia="仿宋" w:cs="仿宋"/>
          <w:color w:val="auto"/>
          <w:sz w:val="20"/>
          <w:szCs w:val="20"/>
          <w:highlight w:val="none"/>
        </w:rPr>
        <w:t>合同为固定</w:t>
      </w:r>
      <w:r>
        <w:rPr>
          <w:rFonts w:hint="eastAsia" w:ascii="仿宋" w:hAnsi="仿宋" w:eastAsia="仿宋" w:cs="仿宋"/>
          <w:color w:val="auto"/>
          <w:sz w:val="20"/>
          <w:szCs w:val="20"/>
          <w:highlight w:val="none"/>
          <w:lang w:val="en-US" w:eastAsia="zh-CN"/>
        </w:rPr>
        <w:t>总</w:t>
      </w:r>
      <w:r>
        <w:rPr>
          <w:rFonts w:hint="eastAsia" w:ascii="仿宋" w:hAnsi="仿宋" w:eastAsia="仿宋" w:cs="仿宋"/>
          <w:color w:val="auto"/>
          <w:sz w:val="20"/>
          <w:szCs w:val="20"/>
          <w:highlight w:val="none"/>
        </w:rPr>
        <w:t>价合同</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合同总价款人民币（大写）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w:t>
      </w:r>
    </w:p>
    <w:p w14:paraId="5C4D2AC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Cs/>
          <w:color w:val="auto"/>
          <w:sz w:val="20"/>
          <w:szCs w:val="20"/>
          <w:highlight w:val="none"/>
        </w:rPr>
      </w:pPr>
      <w:r>
        <w:rPr>
          <w:rFonts w:hint="eastAsia" w:ascii="仿宋" w:hAnsi="仿宋" w:eastAsia="仿宋" w:cs="仿宋"/>
          <w:bCs/>
          <w:color w:val="auto"/>
          <w:sz w:val="20"/>
          <w:szCs w:val="20"/>
          <w:highlight w:val="none"/>
          <w:lang w:val="en-US" w:eastAsia="zh-CN"/>
        </w:rPr>
        <w:t>2.</w:t>
      </w:r>
      <w:r>
        <w:rPr>
          <w:rFonts w:hint="eastAsia" w:ascii="仿宋" w:hAnsi="仿宋" w:eastAsia="仿宋" w:cs="仿宋"/>
          <w:bCs/>
          <w:color w:val="auto"/>
          <w:sz w:val="20"/>
          <w:szCs w:val="20"/>
          <w:highlight w:val="none"/>
        </w:rPr>
        <w:t>付款方式：</w:t>
      </w:r>
    </w:p>
    <w:p w14:paraId="73A9FAE7">
      <w:pPr>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（1）合同签订后，支付合同总金额的90.00%，项目完成后，支付合同总金额的10.00%；</w:t>
      </w:r>
    </w:p>
    <w:p w14:paraId="4FF0A000">
      <w:pPr>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highlight w:val="none"/>
          <w:lang w:val="en-US" w:eastAsia="zh-CN"/>
        </w:rPr>
        <w:t>（2）供应商承诺在采购人办理以上各期付款的支付手续前，为采购人出具等额的符合国家规定的发票；</w:t>
      </w:r>
    </w:p>
    <w:p w14:paraId="38FACD6C">
      <w:pPr>
        <w:keepNext w:val="0"/>
        <w:keepLines w:val="0"/>
        <w:pageBreakBefore w:val="0"/>
        <w:widowControl w:val="0"/>
        <w:numPr>
          <w:ilvl w:val="0"/>
          <w:numId w:val="0"/>
        </w:numPr>
        <w:kinsoku/>
        <w:wordWrap/>
        <w:overflowPunct/>
        <w:topLinePunct w:val="0"/>
        <w:autoSpaceDE/>
        <w:autoSpaceDN/>
        <w:bidi w:val="0"/>
        <w:snapToGrid/>
        <w:spacing w:line="360" w:lineRule="auto"/>
        <w:ind w:firstLine="400" w:firstLineChars="200"/>
        <w:textAlignment w:val="auto"/>
        <w:rPr>
          <w:rFonts w:hint="eastAsia" w:ascii="仿宋" w:hAnsi="仿宋" w:eastAsia="仿宋" w:cs="仿宋"/>
          <w:color w:val="auto"/>
          <w:kern w:val="0"/>
          <w:sz w:val="20"/>
          <w:szCs w:val="20"/>
          <w:highlight w:val="none"/>
          <w:lang w:val="en-US" w:eastAsia="zh-CN"/>
        </w:rPr>
      </w:pPr>
      <w:r>
        <w:rPr>
          <w:rFonts w:hint="eastAsia" w:ascii="仿宋" w:hAnsi="仿宋" w:eastAsia="仿宋" w:cs="仿宋"/>
          <w:color w:val="auto"/>
          <w:kern w:val="0"/>
          <w:sz w:val="20"/>
          <w:szCs w:val="20"/>
          <w:lang w:val="en-US" w:eastAsia="zh-CN"/>
        </w:rPr>
        <w:t>（3）</w:t>
      </w:r>
      <w:r>
        <w:rPr>
          <w:rFonts w:hint="eastAsia" w:ascii="仿宋" w:hAnsi="仿宋" w:eastAsia="仿宋" w:cs="仿宋"/>
          <w:color w:val="auto"/>
          <w:kern w:val="0"/>
          <w:sz w:val="20"/>
          <w:szCs w:val="20"/>
          <w:highlight w:val="none"/>
          <w:lang w:val="en-US" w:eastAsia="zh-CN"/>
        </w:rPr>
        <w:t>上述时间不包括采购人正常办理支付报批手续的时间。</w:t>
      </w:r>
    </w:p>
    <w:p w14:paraId="417C6785">
      <w:pPr>
        <w:keepNext w:val="0"/>
        <w:keepLines w:val="0"/>
        <w:pageBreakBefore w:val="0"/>
        <w:widowControl w:val="0"/>
        <w:numPr>
          <w:ilvl w:val="-1"/>
          <w:numId w:val="0"/>
        </w:numPr>
        <w:kinsoku/>
        <w:wordWrap/>
        <w:overflowPunct/>
        <w:topLinePunct w:val="0"/>
        <w:autoSpaceDE/>
        <w:autoSpaceDN/>
        <w:bidi w:val="0"/>
        <w:snapToGrid/>
        <w:spacing w:line="360" w:lineRule="auto"/>
        <w:ind w:firstLine="400" w:firstLineChars="200"/>
        <w:textAlignment w:val="auto"/>
        <w:rPr>
          <w:rFonts w:hint="eastAsia" w:ascii="仿宋" w:hAnsi="仿宋" w:eastAsia="仿宋" w:cs="仿宋"/>
          <w:bCs/>
          <w:color w:val="auto"/>
          <w:sz w:val="20"/>
          <w:szCs w:val="20"/>
          <w:highlight w:val="none"/>
          <w:lang w:eastAsia="zh-CN"/>
        </w:rPr>
      </w:pPr>
      <w:r>
        <w:rPr>
          <w:rFonts w:hint="eastAsia" w:ascii="仿宋" w:hAnsi="仿宋" w:eastAsia="仿宋" w:cs="仿宋"/>
          <w:bCs/>
          <w:color w:val="auto"/>
          <w:sz w:val="20"/>
          <w:szCs w:val="20"/>
          <w:highlight w:val="none"/>
        </w:rPr>
        <w:t>注：乙方应向甲方出具符合国家财税规定的增值税发票，否则甲方有权延迟履行付款义务。如因乙方缘故（如开具增值税发票延误等）导致甲方无法按时付款，甲方不承担违约责任。如遇突发事件，付款日期则以实际付款日期为准。</w:t>
      </w:r>
    </w:p>
    <w:p w14:paraId="2C3894D8">
      <w:pPr>
        <w:pageBreakBefore w:val="0"/>
        <w:widowControl/>
        <w:tabs>
          <w:tab w:val="left" w:pos="426"/>
        </w:tabs>
        <w:kinsoku/>
        <w:wordWrap/>
        <w:overflowPunct/>
        <w:topLinePunct w:val="0"/>
        <w:autoSpaceDE/>
        <w:autoSpaceDN/>
        <w:bidi w:val="0"/>
        <w:adjustRightInd w:val="0"/>
        <w:snapToGrid w:val="0"/>
        <w:spacing w:line="360" w:lineRule="auto"/>
        <w:ind w:firstLine="400" w:firstLineChars="200"/>
        <w:jc w:val="left"/>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3.乙方开户银行指定账户为：</w:t>
      </w:r>
    </w:p>
    <w:p w14:paraId="2BF6D669">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收款人：</w:t>
      </w:r>
    </w:p>
    <w:p w14:paraId="1F8EF4BA">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开户行：</w:t>
      </w:r>
    </w:p>
    <w:p w14:paraId="5DB0AC75">
      <w:pPr>
        <w:widowControl/>
        <w:tabs>
          <w:tab w:val="left" w:pos="426"/>
        </w:tabs>
        <w:adjustRightInd w:val="0"/>
        <w:snapToGrid w:val="0"/>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p w14:paraId="32C9CFB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4.甲方付款前，乙方应向甲方开具正式等额发票，否则甲方有权延迟履行付款义务。</w:t>
      </w:r>
    </w:p>
    <w:p w14:paraId="1F3D01AF">
      <w:pPr>
        <w:spacing w:line="360" w:lineRule="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四、</w:t>
      </w:r>
      <w:r>
        <w:rPr>
          <w:rFonts w:hint="eastAsia" w:ascii="仿宋" w:hAnsi="仿宋" w:eastAsia="仿宋" w:cs="仿宋"/>
          <w:b/>
          <w:color w:val="auto"/>
          <w:sz w:val="20"/>
          <w:szCs w:val="20"/>
          <w:highlight w:val="none"/>
        </w:rPr>
        <w:t>乙方</w:t>
      </w:r>
      <w:r>
        <w:rPr>
          <w:rFonts w:hint="eastAsia" w:ascii="仿宋" w:hAnsi="仿宋" w:eastAsia="仿宋" w:cs="仿宋"/>
          <w:b/>
          <w:color w:val="auto"/>
          <w:sz w:val="20"/>
          <w:szCs w:val="20"/>
          <w:highlight w:val="none"/>
          <w:lang w:val="en-US" w:eastAsia="zh-CN"/>
        </w:rPr>
        <w:t>项目负责人</w:t>
      </w:r>
    </w:p>
    <w:p w14:paraId="2A89A8B3">
      <w:pPr>
        <w:spacing w:line="360" w:lineRule="auto"/>
        <w:ind w:firstLine="400" w:firstLineChars="200"/>
        <w:rPr>
          <w:rFonts w:hint="eastAsia" w:ascii="仿宋" w:hAnsi="仿宋" w:eastAsia="仿宋" w:cs="仿宋"/>
          <w:b/>
          <w:color w:val="auto"/>
          <w:sz w:val="20"/>
          <w:szCs w:val="20"/>
          <w:highlight w:val="none"/>
        </w:rPr>
      </w:pPr>
      <w:r>
        <w:rPr>
          <w:rFonts w:hint="eastAsia" w:ascii="仿宋" w:hAnsi="仿宋" w:eastAsia="仿宋" w:cs="仿宋"/>
          <w:bCs/>
          <w:color w:val="auto"/>
          <w:sz w:val="20"/>
          <w:szCs w:val="20"/>
          <w:highlight w:val="none"/>
        </w:rPr>
        <w:t>本项目拟派</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为负责人，联系电话：</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，身份证号：</w:t>
      </w:r>
      <w:r>
        <w:rPr>
          <w:rFonts w:hint="eastAsia" w:ascii="仿宋" w:hAnsi="仿宋" w:eastAsia="仿宋" w:cs="仿宋"/>
          <w:bCs/>
          <w:color w:val="auto"/>
          <w:sz w:val="20"/>
          <w:szCs w:val="20"/>
          <w:highlight w:val="none"/>
          <w:u w:val="single"/>
        </w:rPr>
        <w:t xml:space="preserve">            </w:t>
      </w:r>
      <w:r>
        <w:rPr>
          <w:rFonts w:hint="eastAsia" w:ascii="仿宋" w:hAnsi="仿宋" w:eastAsia="仿宋" w:cs="仿宋"/>
          <w:bCs/>
          <w:color w:val="auto"/>
          <w:sz w:val="20"/>
          <w:szCs w:val="20"/>
          <w:highlight w:val="none"/>
        </w:rPr>
        <w:t>。</w:t>
      </w:r>
    </w:p>
    <w:p w14:paraId="1DAAFD25">
      <w:pPr>
        <w:pStyle w:val="2"/>
        <w:spacing w:before="120" w:after="120" w:line="360" w:lineRule="auto"/>
        <w:rPr>
          <w:rFonts w:hint="eastAsia" w:ascii="仿宋" w:hAnsi="仿宋" w:eastAsia="仿宋" w:cs="仿宋"/>
          <w:b/>
          <w:color w:val="auto"/>
          <w:sz w:val="20"/>
          <w:szCs w:val="20"/>
          <w:highlight w:val="none"/>
          <w:lang w:val="zh-CN"/>
        </w:rPr>
      </w:pPr>
      <w:r>
        <w:rPr>
          <w:rFonts w:hint="eastAsia" w:ascii="仿宋" w:hAnsi="仿宋" w:eastAsia="仿宋" w:cs="仿宋"/>
          <w:b/>
          <w:color w:val="auto"/>
          <w:sz w:val="20"/>
          <w:szCs w:val="20"/>
          <w:highlight w:val="none"/>
          <w:lang w:val="zh-CN"/>
        </w:rPr>
        <w:t>五、甲方的主要责任和权利</w:t>
      </w:r>
    </w:p>
    <w:p w14:paraId="12F72173">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1</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甲方有权享有乙方按照上述约定提供的服务</w:t>
      </w:r>
      <w:r>
        <w:rPr>
          <w:rFonts w:hint="eastAsia" w:ascii="仿宋" w:hAnsi="仿宋" w:eastAsia="仿宋" w:cs="仿宋"/>
          <w:color w:val="auto"/>
          <w:sz w:val="20"/>
          <w:szCs w:val="20"/>
          <w:highlight w:val="none"/>
          <w:lang w:eastAsia="zh-CN"/>
        </w:rPr>
        <w:t>；</w:t>
      </w:r>
    </w:p>
    <w:p w14:paraId="6443E6ED">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3E7F973">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3</w:t>
      </w:r>
      <w:r>
        <w:rPr>
          <w:rFonts w:hint="eastAsia" w:ascii="仿宋" w:hAnsi="仿宋" w:eastAsia="仿宋" w:cs="仿宋"/>
          <w:color w:val="auto"/>
          <w:sz w:val="20"/>
          <w:szCs w:val="20"/>
          <w:highlight w:val="none"/>
          <w:lang w:eastAsia="zh-CN"/>
        </w:rPr>
        <w:t>.采购人不得干涉服务商依法或依本合同规定内容所进行的管理活动；</w:t>
      </w:r>
    </w:p>
    <w:p w14:paraId="5801C91E">
      <w:pPr>
        <w:spacing w:before="120" w:after="120"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4</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除本合同约定的服务费用外，乙方不得向甲方及其甲方人员收取其他任何费用，如甲方发现乙方有此类行为，甲方有权要求乙方清退所收费用， 退还利息并支付违约金；</w:t>
      </w:r>
    </w:p>
    <w:p w14:paraId="228EA284">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在服务实施过程中，甲方应为乙方提供必要的工作便利与指导，配合乙方履行职责</w:t>
      </w:r>
      <w:r>
        <w:rPr>
          <w:rFonts w:hint="eastAsia" w:ascii="仿宋" w:hAnsi="仿宋" w:eastAsia="仿宋" w:cs="仿宋"/>
          <w:color w:val="auto"/>
          <w:sz w:val="20"/>
          <w:szCs w:val="20"/>
          <w:highlight w:val="none"/>
          <w:lang w:eastAsia="zh-CN"/>
        </w:rPr>
        <w:t>；</w:t>
      </w:r>
    </w:p>
    <w:p w14:paraId="05D3975B">
      <w:pPr>
        <w:spacing w:before="120" w:after="120"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6.</w:t>
      </w:r>
      <w:r>
        <w:rPr>
          <w:rFonts w:hint="eastAsia" w:ascii="仿宋" w:hAnsi="仿宋" w:eastAsia="仿宋" w:cs="仿宋"/>
          <w:color w:val="auto"/>
          <w:sz w:val="20"/>
          <w:szCs w:val="20"/>
          <w:highlight w:val="none"/>
        </w:rPr>
        <w:t>甲方不得将本合同的内容向甲乙双方以外的、与签订和履行本合同无关的任何第三方透露，不得泄露乙方的商业秘密（包括本合同及其附件和合同签订前的各项方案）</w:t>
      </w:r>
      <w:r>
        <w:rPr>
          <w:rFonts w:hint="eastAsia" w:ascii="仿宋" w:hAnsi="仿宋" w:eastAsia="仿宋" w:cs="仿宋"/>
          <w:color w:val="auto"/>
          <w:sz w:val="20"/>
          <w:szCs w:val="20"/>
          <w:highlight w:val="none"/>
          <w:lang w:eastAsia="zh-CN"/>
        </w:rPr>
        <w:t>。</w:t>
      </w:r>
    </w:p>
    <w:p w14:paraId="22E818A4">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六、乙方的主要责任和权利</w:t>
      </w:r>
    </w:p>
    <w:p w14:paraId="54A4BFC0">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1.乙方必须具有履行本合同书所需的技能，必须按照相关的职业准则完成其全部职责</w:t>
      </w:r>
      <w:r>
        <w:rPr>
          <w:rFonts w:hint="eastAsia" w:ascii="仿宋" w:hAnsi="仿宋" w:eastAsia="仿宋" w:cs="仿宋"/>
          <w:color w:val="auto"/>
          <w:sz w:val="20"/>
          <w:szCs w:val="20"/>
          <w:highlight w:val="none"/>
          <w:lang w:eastAsia="zh-CN"/>
        </w:rPr>
        <w:t>；</w:t>
      </w:r>
    </w:p>
    <w:p w14:paraId="39406DB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2.乙方应根据本合同的约定提交相关文件、资料</w:t>
      </w:r>
      <w:r>
        <w:rPr>
          <w:rFonts w:hint="eastAsia" w:ascii="仿宋" w:hAnsi="仿宋" w:eastAsia="仿宋" w:cs="仿宋"/>
          <w:color w:val="auto"/>
          <w:sz w:val="20"/>
          <w:szCs w:val="20"/>
          <w:highlight w:val="none"/>
          <w:lang w:eastAsia="zh-CN"/>
        </w:rPr>
        <w:t>；</w:t>
      </w:r>
    </w:p>
    <w:p w14:paraId="4089E968">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.解答甲方提出的与项目有关的询问，接受甲方监督和检查</w:t>
      </w:r>
      <w:r>
        <w:rPr>
          <w:rFonts w:hint="eastAsia" w:ascii="仿宋" w:hAnsi="仿宋" w:eastAsia="仿宋" w:cs="仿宋"/>
          <w:color w:val="auto"/>
          <w:sz w:val="20"/>
          <w:szCs w:val="20"/>
          <w:highlight w:val="none"/>
          <w:lang w:eastAsia="zh-CN"/>
        </w:rPr>
        <w:t>；</w:t>
      </w:r>
    </w:p>
    <w:p w14:paraId="6765E8E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.乙方应根据本合同的约定提供服务并提交工作成果，确保</w:t>
      </w:r>
      <w:r>
        <w:rPr>
          <w:rFonts w:hint="eastAsia" w:ascii="仿宋" w:hAnsi="仿宋" w:eastAsia="仿宋" w:cs="仿宋"/>
          <w:color w:val="auto"/>
          <w:sz w:val="20"/>
          <w:szCs w:val="20"/>
          <w:highlight w:val="none"/>
          <w:lang w:val="en-US" w:eastAsia="zh-CN"/>
        </w:rPr>
        <w:t>服务</w:t>
      </w:r>
      <w:r>
        <w:rPr>
          <w:rFonts w:hint="eastAsia" w:ascii="仿宋" w:hAnsi="仿宋" w:eastAsia="仿宋" w:cs="仿宋"/>
          <w:color w:val="auto"/>
          <w:sz w:val="20"/>
          <w:szCs w:val="20"/>
          <w:highlight w:val="none"/>
        </w:rPr>
        <w:t>质量</w:t>
      </w:r>
      <w:r>
        <w:rPr>
          <w:rFonts w:hint="eastAsia" w:ascii="仿宋" w:hAnsi="仿宋" w:eastAsia="仿宋" w:cs="仿宋"/>
          <w:color w:val="auto"/>
          <w:sz w:val="20"/>
          <w:szCs w:val="20"/>
          <w:highlight w:val="none"/>
          <w:lang w:eastAsia="zh-CN"/>
        </w:rPr>
        <w:t>；</w:t>
      </w:r>
    </w:p>
    <w:p w14:paraId="2C66E4EC">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val="en-US" w:eastAsia="zh-CN"/>
        </w:rPr>
        <w:t>5</w:t>
      </w:r>
      <w:r>
        <w:rPr>
          <w:rFonts w:hint="eastAsia" w:ascii="仿宋" w:hAnsi="仿宋" w:eastAsia="仿宋" w:cs="仿宋"/>
          <w:color w:val="auto"/>
          <w:sz w:val="20"/>
          <w:szCs w:val="20"/>
          <w:highlight w:val="none"/>
        </w:rPr>
        <w:t>.乙方人员服务期中发生任何安全问题均与甲方无关</w:t>
      </w:r>
      <w:r>
        <w:rPr>
          <w:rFonts w:hint="eastAsia" w:ascii="仿宋" w:hAnsi="仿宋" w:eastAsia="仿宋" w:cs="仿宋"/>
          <w:color w:val="auto"/>
          <w:sz w:val="20"/>
          <w:szCs w:val="20"/>
          <w:highlight w:val="none"/>
          <w:lang w:eastAsia="zh-CN"/>
        </w:rPr>
        <w:t>；</w:t>
      </w:r>
    </w:p>
    <w:p w14:paraId="0F1AA22F">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6.乙方对甲方业务应当单独建档，保存完整的工作记录；</w:t>
      </w:r>
    </w:p>
    <w:p w14:paraId="4EA998AB">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7.乙方应保守甲方业务秘密；</w:t>
      </w:r>
    </w:p>
    <w:p w14:paraId="4AD01166">
      <w:pPr>
        <w:spacing w:line="360" w:lineRule="auto"/>
        <w:ind w:firstLine="400" w:firstLineChars="200"/>
        <w:rPr>
          <w:rFonts w:hint="default"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8.乙方应当积极、主动地配合甲方的工作。</w:t>
      </w:r>
    </w:p>
    <w:p w14:paraId="31AE298E">
      <w:pPr>
        <w:pStyle w:val="6"/>
        <w:tabs>
          <w:tab w:val="left" w:pos="1134"/>
          <w:tab w:val="left" w:pos="1418"/>
        </w:tabs>
        <w:adjustRightInd w:val="0"/>
        <w:spacing w:before="120" w:after="120" w:line="360" w:lineRule="auto"/>
        <w:ind w:left="0" w:leftChars="0" w:firstLine="0" w:firstLineChars="0"/>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七、</w:t>
      </w:r>
      <w:r>
        <w:rPr>
          <w:rFonts w:hint="eastAsia" w:ascii="仿宋" w:hAnsi="仿宋" w:eastAsia="仿宋" w:cs="仿宋"/>
          <w:b/>
          <w:bCs/>
          <w:color w:val="auto"/>
          <w:kern w:val="2"/>
          <w:sz w:val="20"/>
          <w:szCs w:val="20"/>
          <w:highlight w:val="none"/>
          <w:lang w:val="en-US" w:eastAsia="zh-CN" w:bidi="ar-SA"/>
        </w:rPr>
        <w:t>知识产权及其他侵权</w:t>
      </w:r>
    </w:p>
    <w:p w14:paraId="2ACE8DE7">
      <w:pPr>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1.本项目所涉及的所有工作成果的知识产权归采购人所有，未经采购人同意，成交供应商不得将本项目的工作成果另做他用。</w:t>
      </w:r>
    </w:p>
    <w:p w14:paraId="20F96399">
      <w:pPr>
        <w:keepNext w:val="0"/>
        <w:keepLines w:val="0"/>
        <w:pageBreakBefore w:val="0"/>
        <w:kinsoku/>
        <w:wordWrap/>
        <w:overflowPunct/>
        <w:topLinePunct w:val="0"/>
        <w:autoSpaceDE/>
        <w:autoSpaceDN/>
        <w:bidi w:val="0"/>
        <w:adjustRightInd/>
        <w:snapToGrid/>
        <w:spacing w:line="360" w:lineRule="auto"/>
        <w:ind w:firstLine="400" w:firstLineChars="200"/>
        <w:textAlignment w:val="auto"/>
        <w:outlineLvl w:val="9"/>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2.成交供应商需保障采购人在使用该项目工作成果或其任何一部分时不受到第三方关于侵犯知识产权的指控。如果任何第三方提出侵权指控与采购人无关，成交供应商需与第三方交涉并承担可能发生的责任与一切费用。如采购人因此而遭致损失的，成交供应商应赔偿该损失。</w:t>
      </w:r>
    </w:p>
    <w:p w14:paraId="33CF4F49">
      <w:pPr>
        <w:pStyle w:val="6"/>
        <w:tabs>
          <w:tab w:val="left" w:pos="1134"/>
          <w:tab w:val="left" w:pos="1418"/>
        </w:tabs>
        <w:adjustRightInd w:val="0"/>
        <w:spacing w:before="120" w:after="120" w:line="360" w:lineRule="auto"/>
        <w:ind w:left="0" w:leftChars="0" w:firstLine="0" w:firstLineChars="0"/>
        <w:rPr>
          <w:rFonts w:hint="eastAsia" w:ascii="仿宋" w:hAnsi="仿宋" w:eastAsia="仿宋" w:cs="仿宋"/>
          <w:b/>
          <w:color w:val="auto"/>
          <w:sz w:val="20"/>
          <w:szCs w:val="20"/>
          <w:highlight w:val="none"/>
          <w:lang w:val="zh-CN" w:eastAsia="zh-CN"/>
        </w:rPr>
      </w:pPr>
      <w:r>
        <w:rPr>
          <w:rFonts w:hint="eastAsia" w:ascii="仿宋" w:hAnsi="仿宋" w:eastAsia="仿宋" w:cs="仿宋"/>
          <w:b/>
          <w:color w:val="auto"/>
          <w:sz w:val="20"/>
          <w:szCs w:val="20"/>
          <w:highlight w:val="none"/>
          <w:lang w:val="en-US" w:eastAsia="zh-CN"/>
        </w:rPr>
        <w:t>八</w:t>
      </w:r>
      <w:r>
        <w:rPr>
          <w:rFonts w:hint="eastAsia" w:ascii="仿宋" w:hAnsi="仿宋" w:eastAsia="仿宋" w:cs="仿宋"/>
          <w:b/>
          <w:color w:val="auto"/>
          <w:sz w:val="20"/>
          <w:szCs w:val="20"/>
          <w:highlight w:val="none"/>
          <w:lang w:val="zh-CN" w:eastAsia="zh-CN"/>
        </w:rPr>
        <w:t>、保密</w:t>
      </w:r>
    </w:p>
    <w:p w14:paraId="7F30CA03">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1.在本合同的履行期内，乙方获得与本项目相关的信息（包括获得的资料及成果等），应当采取适当有效的方式保护，不得未经授权使用、传播或公开。</w:t>
      </w:r>
    </w:p>
    <w:p w14:paraId="237A7F22">
      <w:pPr>
        <w:spacing w:line="360" w:lineRule="auto"/>
        <w:ind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395F9FBE">
      <w:pPr>
        <w:pStyle w:val="7"/>
        <w:spacing w:before="120" w:after="120" w:line="360" w:lineRule="auto"/>
        <w:ind w:left="0" w:leftChars="0" w:firstLine="0" w:firstLineChars="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九</w:t>
      </w:r>
      <w:r>
        <w:rPr>
          <w:rFonts w:hint="eastAsia" w:ascii="仿宋" w:hAnsi="仿宋" w:eastAsia="仿宋" w:cs="仿宋"/>
          <w:b/>
          <w:bCs/>
          <w:color w:val="auto"/>
          <w:sz w:val="20"/>
          <w:szCs w:val="20"/>
          <w:highlight w:val="none"/>
        </w:rPr>
        <w:t>、不可抗力</w:t>
      </w:r>
    </w:p>
    <w:p w14:paraId="4C446A08">
      <w:pPr>
        <w:pStyle w:val="7"/>
        <w:spacing w:line="360" w:lineRule="auto"/>
        <w:ind w:firstLine="480"/>
        <w:rPr>
          <w:rFonts w:hint="eastAsia" w:ascii="仿宋" w:hAnsi="仿宋" w:eastAsia="仿宋" w:cs="仿宋"/>
          <w:bCs/>
          <w:color w:val="auto"/>
          <w:sz w:val="20"/>
          <w:szCs w:val="20"/>
          <w:highlight w:val="none"/>
        </w:rPr>
      </w:pPr>
      <w:r>
        <w:rPr>
          <w:rFonts w:hint="eastAsia" w:ascii="仿宋" w:hAnsi="仿宋" w:eastAsia="仿宋" w:cs="仿宋"/>
          <w:color w:val="auto"/>
          <w:sz w:val="20"/>
          <w:szCs w:val="20"/>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502759A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2.遭受不可抗力一方应在不可抗力事故发生后尽快以书面形式通知另一方；并在事故发生后</w:t>
      </w:r>
      <w:r>
        <w:rPr>
          <w:rFonts w:hint="eastAsia" w:ascii="仿宋" w:hAnsi="仿宋" w:eastAsia="仿宋" w:cs="仿宋"/>
          <w:color w:val="auto"/>
          <w:sz w:val="20"/>
          <w:szCs w:val="20"/>
          <w:highlight w:val="none"/>
          <w:u w:val="single"/>
        </w:rPr>
        <w:t>十（10）</w:t>
      </w:r>
      <w:r>
        <w:rPr>
          <w:rFonts w:hint="eastAsia" w:ascii="仿宋" w:hAnsi="仿宋" w:eastAsia="仿宋" w:cs="仿宋"/>
          <w:color w:val="auto"/>
          <w:sz w:val="20"/>
          <w:szCs w:val="20"/>
          <w:highlight w:val="none"/>
        </w:rPr>
        <w:t>个日历日内，将有关部门出具的证明文件、详细情况报告以及不可抗力对合同影响程度的说明用特快专递或挂号信的形式寄给另一方。如果不可抗力影响时间延续</w:t>
      </w:r>
      <w:r>
        <w:rPr>
          <w:rFonts w:hint="eastAsia" w:ascii="仿宋" w:hAnsi="仿宋" w:eastAsia="仿宋" w:cs="仿宋"/>
          <w:color w:val="auto"/>
          <w:sz w:val="20"/>
          <w:szCs w:val="20"/>
          <w:highlight w:val="none"/>
          <w:u w:val="single"/>
        </w:rPr>
        <w:t>二十（20）</w:t>
      </w:r>
      <w:r>
        <w:rPr>
          <w:rFonts w:hint="eastAsia" w:ascii="仿宋" w:hAnsi="仿宋" w:eastAsia="仿宋" w:cs="仿宋"/>
          <w:color w:val="auto"/>
          <w:sz w:val="20"/>
          <w:szCs w:val="20"/>
          <w:highlight w:val="none"/>
        </w:rPr>
        <w:t>个日历日以上，双方应通过友好协商在合理的时间内达成进一步履行合同或终止合同的协议。</w:t>
      </w:r>
    </w:p>
    <w:p w14:paraId="610EACBA">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lang w:val="en-US" w:eastAsia="zh-CN"/>
        </w:rPr>
        <w:t>十</w:t>
      </w:r>
      <w:r>
        <w:rPr>
          <w:rFonts w:hint="eastAsia" w:ascii="仿宋" w:hAnsi="仿宋" w:eastAsia="仿宋" w:cs="仿宋"/>
          <w:b/>
          <w:bCs/>
          <w:color w:val="auto"/>
          <w:sz w:val="20"/>
          <w:szCs w:val="20"/>
          <w:highlight w:val="none"/>
        </w:rPr>
        <w:t>、税费</w:t>
      </w:r>
    </w:p>
    <w:p w14:paraId="5B9ECEE7">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1.中国政府根据现行税法对乙方征收的与本合同有关的一切税费均由乙方负担。</w:t>
      </w:r>
    </w:p>
    <w:p w14:paraId="0F82875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2.在中国境外发生的与本合同执行有关的一切税费均由乙方负担。</w:t>
      </w:r>
    </w:p>
    <w:p w14:paraId="246E209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3.中国政府依据现行税法对甲方征收的与本合同有关的一切税费均由甲方负担。</w:t>
      </w:r>
    </w:p>
    <w:p w14:paraId="39F91304">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一</w:t>
      </w:r>
      <w:r>
        <w:rPr>
          <w:rFonts w:hint="eastAsia" w:ascii="仿宋" w:hAnsi="仿宋" w:eastAsia="仿宋" w:cs="仿宋"/>
          <w:b/>
          <w:bCs/>
          <w:color w:val="auto"/>
          <w:sz w:val="20"/>
          <w:szCs w:val="20"/>
          <w:highlight w:val="none"/>
        </w:rPr>
        <w:t>、破产终止合同</w:t>
      </w:r>
    </w:p>
    <w:p w14:paraId="30A83B9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当乙方破产或无供货（或提供服务）能力时，甲方可在任何时候以书面形式通知乙方单方解除合同；并且该终止合同不损害或不影响甲方已采取或将采取补救措施的权利。</w:t>
      </w:r>
    </w:p>
    <w:p w14:paraId="3AA208DD">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二</w:t>
      </w:r>
      <w:r>
        <w:rPr>
          <w:rFonts w:hint="eastAsia" w:ascii="仿宋" w:hAnsi="仿宋" w:eastAsia="仿宋" w:cs="仿宋"/>
          <w:b/>
          <w:bCs/>
          <w:color w:val="auto"/>
          <w:sz w:val="20"/>
          <w:szCs w:val="20"/>
          <w:highlight w:val="none"/>
        </w:rPr>
        <w:t>、转让</w:t>
      </w:r>
    </w:p>
    <w:p w14:paraId="40927C7F">
      <w:pPr>
        <w:spacing w:line="360" w:lineRule="auto"/>
        <w:ind w:firstLine="400" w:firstLineChars="200"/>
        <w:rPr>
          <w:rFonts w:hint="eastAsia" w:ascii="仿宋" w:hAnsi="仿宋" w:eastAsia="仿宋" w:cs="仿宋"/>
          <w:color w:val="auto"/>
          <w:kern w:val="0"/>
          <w:sz w:val="20"/>
          <w:szCs w:val="20"/>
          <w:highlight w:val="none"/>
        </w:rPr>
      </w:pPr>
      <w:r>
        <w:rPr>
          <w:rFonts w:hint="eastAsia" w:ascii="仿宋" w:hAnsi="仿宋" w:eastAsia="仿宋" w:cs="仿宋"/>
          <w:color w:val="auto"/>
          <w:kern w:val="0"/>
          <w:sz w:val="20"/>
          <w:szCs w:val="20"/>
          <w:highlight w:val="none"/>
        </w:rPr>
        <w:t>未经甲方事先书面同意，乙方不得部分转让或全部转让其应履行的合同义务。乙方擅自转让自身合同义务，甲方有权单方解除合同，并要求乙方赔偿因此产生的一切损失。</w:t>
      </w:r>
    </w:p>
    <w:p w14:paraId="36617211">
      <w:pPr>
        <w:spacing w:before="120" w:after="120" w:line="360" w:lineRule="auto"/>
        <w:rPr>
          <w:rFonts w:hint="eastAsia" w:ascii="仿宋" w:hAnsi="仿宋" w:eastAsia="仿宋" w:cs="仿宋"/>
          <w:b/>
          <w:bCs/>
          <w:color w:val="auto"/>
          <w:sz w:val="20"/>
          <w:szCs w:val="20"/>
          <w:highlight w:val="none"/>
          <w:lang w:val="zh-CN"/>
        </w:rPr>
      </w:pPr>
      <w:r>
        <w:rPr>
          <w:rFonts w:hint="eastAsia" w:ascii="仿宋" w:hAnsi="仿宋" w:eastAsia="仿宋" w:cs="仿宋"/>
          <w:b/>
          <w:bCs/>
          <w:color w:val="auto"/>
          <w:sz w:val="20"/>
          <w:szCs w:val="20"/>
          <w:highlight w:val="none"/>
          <w:lang w:val="zh-CN"/>
        </w:rPr>
        <w:t>十</w:t>
      </w:r>
      <w:r>
        <w:rPr>
          <w:rFonts w:hint="eastAsia" w:ascii="仿宋" w:hAnsi="仿宋" w:eastAsia="仿宋" w:cs="仿宋"/>
          <w:b/>
          <w:bCs/>
          <w:color w:val="auto"/>
          <w:sz w:val="20"/>
          <w:szCs w:val="20"/>
          <w:highlight w:val="none"/>
          <w:lang w:val="en-US" w:eastAsia="zh-CN"/>
        </w:rPr>
        <w:t>三</w:t>
      </w:r>
      <w:r>
        <w:rPr>
          <w:rFonts w:hint="eastAsia" w:ascii="仿宋" w:hAnsi="仿宋" w:eastAsia="仿宋" w:cs="仿宋"/>
          <w:b/>
          <w:bCs/>
          <w:color w:val="auto"/>
          <w:sz w:val="20"/>
          <w:szCs w:val="20"/>
          <w:highlight w:val="none"/>
          <w:lang w:val="zh-CN"/>
        </w:rPr>
        <w:t>、违约责任</w:t>
      </w:r>
    </w:p>
    <w:p w14:paraId="06E00A99">
      <w:pPr>
        <w:pStyle w:val="6"/>
        <w:widowControl w:val="0"/>
        <w:tabs>
          <w:tab w:val="left" w:pos="1134"/>
          <w:tab w:val="left" w:pos="1418"/>
        </w:tabs>
        <w:adjustRightInd w:val="0"/>
        <w:spacing w:line="360" w:lineRule="auto"/>
        <w:ind w:left="0"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lang w:eastAsia="zh-CN"/>
        </w:rPr>
        <w:t>1.按《中华人民共和国民法典》中的相关条款执行。</w:t>
      </w:r>
    </w:p>
    <w:p w14:paraId="7F102B0E">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2.合同签</w:t>
      </w:r>
      <w:r>
        <w:rPr>
          <w:rFonts w:hint="eastAsia" w:ascii="仿宋" w:hAnsi="仿宋" w:eastAsia="仿宋" w:cs="仿宋"/>
          <w:color w:val="auto"/>
          <w:kern w:val="0"/>
          <w:sz w:val="20"/>
          <w:szCs w:val="20"/>
          <w:highlight w:val="none"/>
          <w:lang w:eastAsia="zh-CN"/>
        </w:rPr>
        <w:t>订后，如乙方擅自中途停止或解除合同，乙方应向甲方</w:t>
      </w:r>
      <w:r>
        <w:rPr>
          <w:rFonts w:hint="eastAsia" w:ascii="仿宋" w:hAnsi="仿宋" w:eastAsia="仿宋" w:cs="仿宋"/>
          <w:color w:val="auto"/>
          <w:kern w:val="0"/>
          <w:sz w:val="20"/>
          <w:szCs w:val="20"/>
          <w:highlight w:val="none"/>
          <w:lang w:val="en-US" w:eastAsia="zh-CN"/>
        </w:rPr>
        <w:t>赔偿1.5倍的首次付款</w:t>
      </w:r>
      <w:r>
        <w:rPr>
          <w:rFonts w:hint="eastAsia" w:ascii="仿宋" w:hAnsi="仿宋" w:eastAsia="仿宋" w:cs="仿宋"/>
          <w:color w:val="auto"/>
          <w:kern w:val="0"/>
          <w:sz w:val="20"/>
          <w:szCs w:val="20"/>
          <w:highlight w:val="none"/>
          <w:lang w:eastAsia="zh-CN"/>
        </w:rPr>
        <w:t>。</w:t>
      </w:r>
    </w:p>
    <w:p w14:paraId="027EEF22">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3.</w:t>
      </w:r>
      <w:r>
        <w:rPr>
          <w:rFonts w:hint="eastAsia" w:ascii="仿宋" w:hAnsi="仿宋" w:eastAsia="仿宋" w:cs="仿宋"/>
          <w:color w:val="auto"/>
          <w:kern w:val="0"/>
          <w:sz w:val="20"/>
          <w:szCs w:val="20"/>
          <w:highlight w:val="none"/>
          <w:lang w:eastAsia="zh-CN"/>
        </w:rPr>
        <w:t>服务实施过程中，乙方未按响应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302E7F91">
      <w:pPr>
        <w:spacing w:line="360" w:lineRule="auto"/>
        <w:ind w:firstLine="400" w:firstLineChars="200"/>
        <w:rPr>
          <w:rFonts w:hint="eastAsia" w:ascii="仿宋" w:hAnsi="仿宋" w:eastAsia="仿宋" w:cs="仿宋"/>
          <w:color w:val="auto"/>
          <w:kern w:val="0"/>
          <w:sz w:val="20"/>
          <w:szCs w:val="20"/>
          <w:highlight w:val="none"/>
          <w:lang w:eastAsia="zh-CN"/>
        </w:rPr>
      </w:pPr>
      <w:r>
        <w:rPr>
          <w:rFonts w:hint="eastAsia" w:ascii="仿宋" w:hAnsi="仿宋" w:eastAsia="仿宋" w:cs="仿宋"/>
          <w:color w:val="auto"/>
          <w:kern w:val="0"/>
          <w:sz w:val="20"/>
          <w:szCs w:val="20"/>
          <w:highlight w:val="none"/>
          <w:lang w:val="en-US" w:eastAsia="zh-CN"/>
        </w:rPr>
        <w:t>4.</w:t>
      </w:r>
      <w:r>
        <w:rPr>
          <w:rFonts w:hint="eastAsia" w:ascii="仿宋" w:hAnsi="仿宋" w:eastAsia="仿宋" w:cs="仿宋"/>
          <w:color w:val="auto"/>
          <w:kern w:val="0"/>
          <w:sz w:val="20"/>
          <w:szCs w:val="20"/>
          <w:highlight w:val="none"/>
          <w:lang w:eastAsia="zh-CN"/>
        </w:rPr>
        <w:t>乙方不得将本项目的任何部分转包或分包给其他任何单位和个人。若擅自转包或分包本合同标的，甲方有权解除合同，并可要求乙方偿付</w:t>
      </w:r>
      <w:r>
        <w:rPr>
          <w:rFonts w:hint="eastAsia" w:ascii="仿宋" w:hAnsi="仿宋" w:eastAsia="仿宋" w:cs="仿宋"/>
          <w:color w:val="auto"/>
          <w:kern w:val="0"/>
          <w:sz w:val="20"/>
          <w:szCs w:val="20"/>
          <w:highlight w:val="none"/>
          <w:lang w:val="en-US" w:eastAsia="zh-CN"/>
        </w:rPr>
        <w:t>服务</w:t>
      </w:r>
      <w:r>
        <w:rPr>
          <w:rFonts w:hint="eastAsia" w:ascii="仿宋" w:hAnsi="仿宋" w:eastAsia="仿宋" w:cs="仿宋"/>
          <w:color w:val="auto"/>
          <w:kern w:val="0"/>
          <w:sz w:val="20"/>
          <w:szCs w:val="20"/>
          <w:highlight w:val="none"/>
          <w:lang w:eastAsia="zh-CN"/>
        </w:rPr>
        <w:t>费30%的违约金，同时追究其法律责任。</w:t>
      </w:r>
    </w:p>
    <w:p w14:paraId="0E9ABB1A">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四</w:t>
      </w:r>
      <w:r>
        <w:rPr>
          <w:rFonts w:hint="eastAsia" w:ascii="仿宋" w:hAnsi="仿宋" w:eastAsia="仿宋" w:cs="仿宋"/>
          <w:b/>
          <w:bCs/>
          <w:color w:val="auto"/>
          <w:sz w:val="20"/>
          <w:szCs w:val="20"/>
          <w:highlight w:val="none"/>
        </w:rPr>
        <w:t>、合同争议和解决办法</w:t>
      </w:r>
    </w:p>
    <w:p w14:paraId="536A478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7254FFFD">
      <w:pPr>
        <w:spacing w:before="120" w:after="120" w:line="360" w:lineRule="auto"/>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十</w:t>
      </w:r>
      <w:r>
        <w:rPr>
          <w:rFonts w:hint="eastAsia" w:ascii="仿宋" w:hAnsi="仿宋" w:eastAsia="仿宋" w:cs="仿宋"/>
          <w:b/>
          <w:bCs/>
          <w:color w:val="auto"/>
          <w:sz w:val="20"/>
          <w:szCs w:val="20"/>
          <w:highlight w:val="none"/>
          <w:lang w:val="en-US" w:eastAsia="zh-CN"/>
        </w:rPr>
        <w:t>五</w:t>
      </w:r>
      <w:r>
        <w:rPr>
          <w:rFonts w:hint="eastAsia" w:ascii="仿宋" w:hAnsi="仿宋" w:eastAsia="仿宋" w:cs="仿宋"/>
          <w:b/>
          <w:bCs/>
          <w:color w:val="auto"/>
          <w:sz w:val="20"/>
          <w:szCs w:val="20"/>
          <w:highlight w:val="none"/>
        </w:rPr>
        <w:t>、其他事项</w:t>
      </w:r>
    </w:p>
    <w:p w14:paraId="07243210">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b w:val="0"/>
          <w:bCs w:val="0"/>
          <w:color w:val="auto"/>
          <w:kern w:val="0"/>
          <w:sz w:val="20"/>
          <w:szCs w:val="20"/>
          <w:highlight w:val="none"/>
          <w:lang w:val="en-US" w:eastAsia="zh-CN"/>
        </w:rPr>
      </w:pPr>
      <w:r>
        <w:rPr>
          <w:rFonts w:hint="eastAsia" w:ascii="仿宋" w:hAnsi="仿宋" w:eastAsia="仿宋" w:cs="仿宋"/>
          <w:color w:val="auto"/>
          <w:sz w:val="20"/>
          <w:szCs w:val="20"/>
          <w:highlight w:val="none"/>
        </w:rPr>
        <w:t>1.</w:t>
      </w:r>
      <w:r>
        <w:rPr>
          <w:rFonts w:hint="eastAsia" w:ascii="仿宋" w:hAnsi="仿宋" w:eastAsia="仿宋" w:cs="仿宋"/>
          <w:b w:val="0"/>
          <w:bCs w:val="0"/>
          <w:color w:val="auto"/>
          <w:kern w:val="0"/>
          <w:sz w:val="20"/>
          <w:szCs w:val="20"/>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248A5E43">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b w:val="0"/>
          <w:bCs w:val="0"/>
          <w:color w:val="auto"/>
          <w:kern w:val="0"/>
          <w:sz w:val="20"/>
          <w:szCs w:val="20"/>
          <w:highlight w:val="none"/>
          <w:lang w:val="en-US" w:eastAsia="zh-CN"/>
        </w:rPr>
        <w:t>2.</w:t>
      </w:r>
      <w:r>
        <w:rPr>
          <w:rFonts w:hint="eastAsia" w:ascii="仿宋" w:hAnsi="仿宋" w:eastAsia="仿宋" w:cs="仿宋"/>
          <w:color w:val="auto"/>
          <w:sz w:val="20"/>
          <w:szCs w:val="20"/>
          <w:highlight w:val="none"/>
        </w:rPr>
        <w:t>未尽事宜，双方协商解决。在本合同履行过程中将双方达成的书面补充协议是本合同不可分割的组成部分，与本合同具有同等效力。</w:t>
      </w:r>
    </w:p>
    <w:p w14:paraId="5BFB4954">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3</w:t>
      </w:r>
      <w:r>
        <w:rPr>
          <w:rFonts w:hint="eastAsia" w:ascii="仿宋" w:hAnsi="仿宋" w:eastAsia="仿宋" w:cs="仿宋"/>
          <w:color w:val="auto"/>
          <w:sz w:val="20"/>
          <w:szCs w:val="20"/>
          <w:highlight w:val="none"/>
        </w:rPr>
        <w:t>.本合同正本一式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份，副本一式</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份，均以中文书写，在双方代表签字盖章后生效，甲方执正本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份；乙方执正本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份，副本</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rPr>
        <w:t>份；政府采购管理部门备案副本一份，均具有同等法律效力。</w:t>
      </w:r>
    </w:p>
    <w:tbl>
      <w:tblPr>
        <w:tblStyle w:val="3"/>
        <w:tblpPr w:leftFromText="180" w:rightFromText="180" w:vertAnchor="text" w:horzAnchor="page" w:tblpX="1858" w:tblpY="1145"/>
        <w:tblOverlap w:val="never"/>
        <w:tblW w:w="0" w:type="auto"/>
        <w:jc w:val="center"/>
        <w:tblLayout w:type="fixed"/>
        <w:tblCellMar>
          <w:top w:w="0" w:type="dxa"/>
          <w:left w:w="108" w:type="dxa"/>
          <w:bottom w:w="0" w:type="dxa"/>
          <w:right w:w="108" w:type="dxa"/>
        </w:tblCellMar>
      </w:tblPr>
      <w:tblGrid>
        <w:gridCol w:w="4201"/>
        <w:gridCol w:w="4202"/>
      </w:tblGrid>
      <w:tr w14:paraId="2A56DD4F">
        <w:tblPrEx>
          <w:tblCellMar>
            <w:top w:w="0" w:type="dxa"/>
            <w:left w:w="108" w:type="dxa"/>
            <w:bottom w:w="0" w:type="dxa"/>
            <w:right w:w="108" w:type="dxa"/>
          </w:tblCellMar>
        </w:tblPrEx>
        <w:trPr>
          <w:trHeight w:val="484" w:hRule="exact"/>
          <w:jc w:val="center"/>
        </w:trPr>
        <w:tc>
          <w:tcPr>
            <w:tcW w:w="4201" w:type="dxa"/>
            <w:noWrap w:val="0"/>
            <w:vAlign w:val="center"/>
          </w:tcPr>
          <w:p w14:paraId="782552AB">
            <w:pPr>
              <w:keepNext w:val="0"/>
              <w:keepLines w:val="0"/>
              <w:pageBreakBefore w:val="0"/>
              <w:widowControl w:val="0"/>
              <w:kinsoku/>
              <w:wordWrap/>
              <w:overflowPunct/>
              <w:topLinePunct w:val="0"/>
              <w:autoSpaceDE/>
              <w:autoSpaceDN/>
              <w:bidi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甲方</w:t>
            </w:r>
          </w:p>
        </w:tc>
        <w:tc>
          <w:tcPr>
            <w:tcW w:w="4202" w:type="dxa"/>
            <w:noWrap w:val="0"/>
            <w:vAlign w:val="center"/>
          </w:tcPr>
          <w:p w14:paraId="382C95B9">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乙方</w:t>
            </w:r>
          </w:p>
        </w:tc>
      </w:tr>
      <w:tr w14:paraId="364EEA5A">
        <w:tblPrEx>
          <w:tblCellMar>
            <w:top w:w="0" w:type="dxa"/>
            <w:left w:w="108" w:type="dxa"/>
            <w:bottom w:w="0" w:type="dxa"/>
            <w:right w:w="108" w:type="dxa"/>
          </w:tblCellMar>
        </w:tblPrEx>
        <w:trPr>
          <w:trHeight w:val="467" w:hRule="exact"/>
          <w:jc w:val="center"/>
        </w:trPr>
        <w:tc>
          <w:tcPr>
            <w:tcW w:w="4201" w:type="dxa"/>
            <w:noWrap w:val="0"/>
            <w:vAlign w:val="center"/>
          </w:tcPr>
          <w:p w14:paraId="33EFCADB">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c>
          <w:tcPr>
            <w:tcW w:w="4202" w:type="dxa"/>
            <w:noWrap w:val="0"/>
            <w:vAlign w:val="center"/>
          </w:tcPr>
          <w:p w14:paraId="2F60727E">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（盖章）</w:t>
            </w:r>
          </w:p>
        </w:tc>
      </w:tr>
      <w:tr w14:paraId="257B5364">
        <w:tblPrEx>
          <w:tblCellMar>
            <w:top w:w="0" w:type="dxa"/>
            <w:left w:w="108" w:type="dxa"/>
            <w:bottom w:w="0" w:type="dxa"/>
            <w:right w:w="108" w:type="dxa"/>
          </w:tblCellMar>
        </w:tblPrEx>
        <w:trPr>
          <w:trHeight w:val="501" w:hRule="exact"/>
          <w:jc w:val="center"/>
        </w:trPr>
        <w:tc>
          <w:tcPr>
            <w:tcW w:w="4201" w:type="dxa"/>
            <w:noWrap w:val="0"/>
            <w:vAlign w:val="center"/>
          </w:tcPr>
          <w:p w14:paraId="7227888A">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c>
          <w:tcPr>
            <w:tcW w:w="4202" w:type="dxa"/>
            <w:noWrap w:val="0"/>
            <w:vAlign w:val="center"/>
          </w:tcPr>
          <w:p w14:paraId="686536BC">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地址：</w:t>
            </w:r>
          </w:p>
        </w:tc>
      </w:tr>
      <w:tr w14:paraId="27516700">
        <w:tblPrEx>
          <w:tblCellMar>
            <w:top w:w="0" w:type="dxa"/>
            <w:left w:w="108" w:type="dxa"/>
            <w:bottom w:w="0" w:type="dxa"/>
            <w:right w:w="108" w:type="dxa"/>
          </w:tblCellMar>
        </w:tblPrEx>
        <w:trPr>
          <w:trHeight w:val="450" w:hRule="exact"/>
          <w:jc w:val="center"/>
        </w:trPr>
        <w:tc>
          <w:tcPr>
            <w:tcW w:w="4201" w:type="dxa"/>
            <w:noWrap w:val="0"/>
            <w:vAlign w:val="center"/>
          </w:tcPr>
          <w:p w14:paraId="09AE8448">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c>
          <w:tcPr>
            <w:tcW w:w="4202" w:type="dxa"/>
            <w:noWrap w:val="0"/>
            <w:vAlign w:val="center"/>
          </w:tcPr>
          <w:p w14:paraId="4A9E3AD0">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邮编：</w:t>
            </w:r>
          </w:p>
        </w:tc>
      </w:tr>
      <w:tr w14:paraId="1B7135D3">
        <w:tblPrEx>
          <w:tblCellMar>
            <w:top w:w="0" w:type="dxa"/>
            <w:left w:w="108" w:type="dxa"/>
            <w:bottom w:w="0" w:type="dxa"/>
            <w:right w:w="108" w:type="dxa"/>
          </w:tblCellMar>
        </w:tblPrEx>
        <w:trPr>
          <w:trHeight w:val="533" w:hRule="exact"/>
          <w:jc w:val="center"/>
        </w:trPr>
        <w:tc>
          <w:tcPr>
            <w:tcW w:w="4201" w:type="dxa"/>
            <w:noWrap w:val="0"/>
            <w:vAlign w:val="center"/>
          </w:tcPr>
          <w:p w14:paraId="2878D415">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c>
          <w:tcPr>
            <w:tcW w:w="4202" w:type="dxa"/>
            <w:noWrap w:val="0"/>
            <w:vAlign w:val="center"/>
          </w:tcPr>
          <w:p w14:paraId="4CAFB6A0">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p>
        </w:tc>
      </w:tr>
      <w:tr w14:paraId="69F4BD2A">
        <w:tblPrEx>
          <w:tblCellMar>
            <w:top w:w="0" w:type="dxa"/>
            <w:left w:w="108" w:type="dxa"/>
            <w:bottom w:w="0" w:type="dxa"/>
            <w:right w:w="108" w:type="dxa"/>
          </w:tblCellMar>
        </w:tblPrEx>
        <w:trPr>
          <w:trHeight w:val="533" w:hRule="exact"/>
          <w:jc w:val="center"/>
        </w:trPr>
        <w:tc>
          <w:tcPr>
            <w:tcW w:w="4201" w:type="dxa"/>
            <w:noWrap w:val="0"/>
            <w:vAlign w:val="center"/>
          </w:tcPr>
          <w:p w14:paraId="23072B45">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c>
          <w:tcPr>
            <w:tcW w:w="4202" w:type="dxa"/>
            <w:noWrap w:val="0"/>
            <w:vAlign w:val="center"/>
          </w:tcPr>
          <w:p w14:paraId="610C3053">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委托代理人：</w:t>
            </w:r>
          </w:p>
        </w:tc>
      </w:tr>
      <w:tr w14:paraId="78503339">
        <w:tblPrEx>
          <w:tblCellMar>
            <w:top w:w="0" w:type="dxa"/>
            <w:left w:w="108" w:type="dxa"/>
            <w:bottom w:w="0" w:type="dxa"/>
            <w:right w:w="108" w:type="dxa"/>
          </w:tblCellMar>
        </w:tblPrEx>
        <w:trPr>
          <w:trHeight w:val="500" w:hRule="exact"/>
          <w:jc w:val="center"/>
        </w:trPr>
        <w:tc>
          <w:tcPr>
            <w:tcW w:w="4201" w:type="dxa"/>
            <w:noWrap w:val="0"/>
            <w:vAlign w:val="center"/>
          </w:tcPr>
          <w:p w14:paraId="27EF5AD2">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c>
          <w:tcPr>
            <w:tcW w:w="4202" w:type="dxa"/>
            <w:noWrap w:val="0"/>
            <w:vAlign w:val="center"/>
          </w:tcPr>
          <w:p w14:paraId="6DB81AB9">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电话：</w:t>
            </w:r>
          </w:p>
        </w:tc>
      </w:tr>
      <w:tr w14:paraId="509FDF47">
        <w:tblPrEx>
          <w:tblCellMar>
            <w:top w:w="0" w:type="dxa"/>
            <w:left w:w="108" w:type="dxa"/>
            <w:bottom w:w="0" w:type="dxa"/>
            <w:right w:w="108" w:type="dxa"/>
          </w:tblCellMar>
        </w:tblPrEx>
        <w:trPr>
          <w:trHeight w:val="467" w:hRule="exact"/>
          <w:jc w:val="center"/>
        </w:trPr>
        <w:tc>
          <w:tcPr>
            <w:tcW w:w="4201" w:type="dxa"/>
            <w:noWrap w:val="0"/>
            <w:vAlign w:val="center"/>
          </w:tcPr>
          <w:p w14:paraId="24B8B5F2">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c>
          <w:tcPr>
            <w:tcW w:w="4202" w:type="dxa"/>
            <w:noWrap w:val="0"/>
            <w:vAlign w:val="center"/>
          </w:tcPr>
          <w:p w14:paraId="3CC6E351">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传真：</w:t>
            </w:r>
          </w:p>
        </w:tc>
      </w:tr>
      <w:tr w14:paraId="6A072E52">
        <w:tblPrEx>
          <w:tblCellMar>
            <w:top w:w="0" w:type="dxa"/>
            <w:left w:w="108" w:type="dxa"/>
            <w:bottom w:w="0" w:type="dxa"/>
            <w:right w:w="108" w:type="dxa"/>
          </w:tblCellMar>
        </w:tblPrEx>
        <w:trPr>
          <w:trHeight w:val="567" w:hRule="exact"/>
          <w:jc w:val="center"/>
        </w:trPr>
        <w:tc>
          <w:tcPr>
            <w:tcW w:w="4201" w:type="dxa"/>
            <w:noWrap w:val="0"/>
            <w:vAlign w:val="center"/>
          </w:tcPr>
          <w:p w14:paraId="0C6A1EC8">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4202" w:type="dxa"/>
            <w:noWrap w:val="0"/>
            <w:vAlign w:val="center"/>
          </w:tcPr>
          <w:p w14:paraId="2EBF08EB">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r>
      <w:tr w14:paraId="6BAB4024">
        <w:tblPrEx>
          <w:tblCellMar>
            <w:top w:w="0" w:type="dxa"/>
            <w:left w:w="108" w:type="dxa"/>
            <w:bottom w:w="0" w:type="dxa"/>
            <w:right w:w="108" w:type="dxa"/>
          </w:tblCellMar>
        </w:tblPrEx>
        <w:trPr>
          <w:trHeight w:val="567" w:hRule="exact"/>
          <w:jc w:val="center"/>
        </w:trPr>
        <w:tc>
          <w:tcPr>
            <w:tcW w:w="4201" w:type="dxa"/>
            <w:noWrap w:val="0"/>
            <w:vAlign w:val="center"/>
          </w:tcPr>
          <w:p w14:paraId="3EE291D9">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c>
          <w:tcPr>
            <w:tcW w:w="4202" w:type="dxa"/>
            <w:noWrap w:val="0"/>
            <w:vAlign w:val="center"/>
          </w:tcPr>
          <w:p w14:paraId="399E0F4C">
            <w:pPr>
              <w:keepNext w:val="0"/>
              <w:keepLines w:val="0"/>
              <w:pageBreakBefore w:val="0"/>
              <w:widowControl w:val="0"/>
              <w:kinsoku/>
              <w:wordWrap/>
              <w:overflowPunct/>
              <w:topLinePunct w:val="0"/>
              <w:autoSpaceDE/>
              <w:autoSpaceDN/>
              <w:bidi w:val="0"/>
              <w:adjustRightInd w:val="0"/>
              <w:snapToGrid w:val="0"/>
              <w:spacing w:line="24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w:t>
            </w:r>
          </w:p>
        </w:tc>
      </w:tr>
    </w:tbl>
    <w:p w14:paraId="550F6C9C">
      <w:pPr>
        <w:keepNext w:val="0"/>
        <w:keepLines w:val="0"/>
        <w:pageBreakBefore w:val="0"/>
        <w:widowControl w:val="0"/>
        <w:kinsoku/>
        <w:wordWrap/>
        <w:overflowPunct/>
        <w:topLinePunct w:val="0"/>
        <w:autoSpaceDE/>
        <w:autoSpaceDN/>
        <w:bidi w:val="0"/>
        <w:adjustRightInd/>
        <w:snapToGrid/>
        <w:spacing w:line="360" w:lineRule="auto"/>
        <w:ind w:firstLine="400" w:firstLineChars="200"/>
        <w:textAlignment w:val="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lang w:val="en-US" w:eastAsia="zh-CN"/>
        </w:rPr>
        <w:t>4</w:t>
      </w:r>
      <w:r>
        <w:rPr>
          <w:rFonts w:hint="eastAsia" w:ascii="仿宋" w:hAnsi="仿宋" w:eastAsia="仿宋" w:cs="仿宋"/>
          <w:color w:val="auto"/>
          <w:sz w:val="20"/>
          <w:szCs w:val="20"/>
          <w:highlight w:val="none"/>
        </w:rPr>
        <w:t>.本合同自双方签字盖章之日起生效，合同执行完毕自动失效（合同的服务承诺长期有效）。</w:t>
      </w:r>
    </w:p>
    <w:p w14:paraId="299B0B1D">
      <w:pPr>
        <w:pStyle w:val="5"/>
        <w:rPr>
          <w:rFonts w:hint="eastAsia"/>
          <w:lang w:val="en-US" w:eastAsia="zh-Hans"/>
        </w:rPr>
      </w:pPr>
    </w:p>
    <w:p w14:paraId="6237340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D0F2D4"/>
    <w:multiLevelType w:val="singleLevel"/>
    <w:tmpl w:val="E1D0F2D4"/>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A57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hAnsi="Courier New" w:cs="Courier New"/>
      <w:szCs w:val="21"/>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styleId="6">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2025-04-21T03:18:10Z</dcterms:created>
  <dc:creator>Administrator</dc:creator>
  <cp:lastModifiedBy>doit</cp:lastModifiedBy>
  <dcterms:modified xsi:type="dcterms:W3CDTF">2025-04-21T03:18:14Z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eyJoZGlkIjoiMzdhN2U3OWFkMjhlOTQ2ZmI5MTYwMjU1NWEzNTI2ZjEiLCJ1c2VySWQiOiI1NDQyNTk1OTUifQ==</vt:lpwstr>
  </property>
  <property fmtid="{D5CDD505-2E9C-101B-9397-08002B2CF9AE}" pid="4" name="ICV">
    <vt:lpwstr>C20B584954F6487A9A23B2778AB664F2_12</vt:lpwstr>
  </property>
</Properties>
</file>