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5DF1"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3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879"/>
        <w:gridCol w:w="2322"/>
        <w:gridCol w:w="1594"/>
        <w:gridCol w:w="1595"/>
      </w:tblGrid>
      <w:tr w14:paraId="0A6741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  <w:vAlign w:val="center"/>
          </w:tcPr>
          <w:p w14:paraId="2BF77442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业绩时间</w:t>
            </w:r>
          </w:p>
        </w:tc>
        <w:tc>
          <w:tcPr>
            <w:tcW w:w="1102" w:type="pct"/>
            <w:tcBorders>
              <w:tl2br w:val="nil"/>
              <w:tr2bl w:val="nil"/>
            </w:tcBorders>
            <w:vAlign w:val="center"/>
          </w:tcPr>
          <w:p w14:paraId="4D8D965A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合同/项目名称</w:t>
            </w:r>
          </w:p>
        </w:tc>
        <w:tc>
          <w:tcPr>
            <w:tcW w:w="1362" w:type="pct"/>
            <w:tcBorders>
              <w:tl2br w:val="nil"/>
              <w:tr2bl w:val="nil"/>
            </w:tcBorders>
            <w:vAlign w:val="center"/>
          </w:tcPr>
          <w:p w14:paraId="174C920E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3AFF8167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合同金额</w:t>
            </w:r>
          </w:p>
          <w:p w14:paraId="6FF791F4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031C24BB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  <w:t>业主单位及</w:t>
            </w:r>
          </w:p>
          <w:p w14:paraId="7B68EF3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</w:tr>
      <w:tr w14:paraId="1DC81D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4B5D8F0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504553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0A230DB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12B6FF7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4492379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078D0A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29587F2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0BD2F5F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155218E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0FBBFA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3E113E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6C02B6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093B2B7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1D36277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2942680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2274D7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3A87AD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313C50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1FEFF18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54EAD4C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553E287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3F3C68B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33EE97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29C4A9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5F56699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13B7EC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0DD8274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158A127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A92FB0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</w:tbl>
    <w:p w14:paraId="6BB3A2BB"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napToGrid/>
          <w:kern w:val="0"/>
          <w:sz w:val="22"/>
          <w:szCs w:val="24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</w:rPr>
        <w:t>注：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</w:rPr>
        <w:t>按评审标准后附所需的相关资料。</w:t>
      </w:r>
    </w:p>
    <w:p w14:paraId="501267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A2093"/>
    <w:rsid w:val="3FF9428E"/>
    <w:rsid w:val="5481728A"/>
    <w:rsid w:val="5D1A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2025-04-11T06:08:00Z</dcterms:created>
  <dc:creator>新昱</dc:creator>
  <cp:lastModifiedBy>新昱</cp:lastModifiedBy>
  <dcterms:modified xsi:type="dcterms:W3CDTF">2025-04-11T06:09:07Z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13627EA0D3D54FAA895A713EE8E1B470_11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