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</w:rPr>
        <w:t>节能环保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</w:rPr>
        <w:t>技术参数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</w:rPr>
        <w:t>产品选型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管理体系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</w:rPr>
        <w:t>供货安排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货源渠道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</w:rPr>
        <w:t>质量保证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</w:rPr>
        <w:t>业绩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</w:rPr>
        <w:t>售后服务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10、</w:t>
      </w:r>
      <w:bookmarkStart w:id="1" w:name="_GoBack"/>
      <w:bookmarkEnd w:id="1"/>
      <w:r>
        <w:rPr>
          <w:rFonts w:hint="eastAsia" w:ascii="宋体" w:hAnsi="宋体" w:eastAsia="宋体" w:cs="宋体"/>
          <w:sz w:val="24"/>
        </w:rPr>
        <w:t>培训方案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45462bc-ab43-4344-9148-c900099f4a9c"/>
  </w:docVars>
  <w:rsids>
    <w:rsidRoot w:val="71761C22"/>
    <w:rsid w:val="7176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2025-04-02T07:42:00Z</dcterms:created>
  <dc:creator>ANNY</dc:creator>
  <cp:lastModifiedBy>ANNY</cp:lastModifiedBy>
  <dcterms:modified xsi:type="dcterms:W3CDTF">2025-04-02T07:44:01Z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D30B40D678DE45068F290C1F9FA84266_11</vt:lpwstr>
  </property>
</Properties>
</file>