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99BA5">
      <w:pPr>
        <w:pStyle w:val="6"/>
        <w:pageBreakBefore w:val="0"/>
        <w:kinsoku/>
        <w:wordWrap/>
        <w:overflowPunct/>
        <w:topLinePunct w:val="0"/>
        <w:bidi w:val="0"/>
        <w:spacing w:line="360" w:lineRule="auto"/>
        <w:jc w:val="center"/>
        <w:textAlignment w:val="auto"/>
        <w:outlineLvl w:val="1"/>
        <w:rPr>
          <w:color w:val="000000" w:themeColor="text1"/>
          <w:highlight w:val="none"/>
          <w14:textFill>
            <w14:solidFill>
              <w14:schemeClr w14:val="tx1"/>
            </w14:solidFill>
          </w14:textFill>
        </w:rPr>
      </w:pPr>
      <w:r>
        <w:rPr>
          <w:b/>
          <w:color w:val="000000" w:themeColor="text1"/>
          <w:sz w:val="36"/>
          <w:highlight w:val="none"/>
          <w14:textFill>
            <w14:solidFill>
              <w14:schemeClr w14:val="tx1"/>
            </w14:solidFill>
          </w14:textFill>
        </w:rPr>
        <w:t>拟签订采购合同文本</w:t>
      </w:r>
    </w:p>
    <w:p w14:paraId="2ABAAAC7">
      <w:pPr>
        <w:pageBreakBefore w:val="0"/>
        <w:widowControl w:val="0"/>
        <w:kinsoku/>
        <w:wordWrap/>
        <w:overflowPunct/>
        <w:topLinePunct w:val="0"/>
        <w:bidi w:val="0"/>
        <w:adjustRightInd w:val="0"/>
        <w:snapToGrid w:val="0"/>
        <w:spacing w:before="20" w:beforeAutospacing="0" w:line="360" w:lineRule="auto"/>
        <w:ind w:firstLine="482" w:firstLineChars="200"/>
        <w:jc w:val="center"/>
        <w:textAlignment w:val="auto"/>
        <w:rPr>
          <w:rFonts w:hint="eastAsia" w:ascii="宋体" w:hAnsi="宋体" w:eastAsia="宋体" w:cs="Times New Roman"/>
          <w:b/>
          <w:bCs/>
          <w:color w:val="000000" w:themeColor="text1"/>
          <w:kern w:val="0"/>
          <w:sz w:val="24"/>
          <w:szCs w:val="20"/>
          <w:highlight w:val="none"/>
          <w:lang w:val="en-US" w:eastAsia="zh-CN" w:bidi="ar-SA"/>
          <w14:textFill>
            <w14:solidFill>
              <w14:schemeClr w14:val="tx1"/>
            </w14:solidFill>
          </w14:textFill>
        </w:rPr>
      </w:pPr>
    </w:p>
    <w:p w14:paraId="2E40FC47">
      <w:pPr>
        <w:pageBreakBefore w:val="0"/>
        <w:widowControl w:val="0"/>
        <w:kinsoku/>
        <w:wordWrap/>
        <w:overflowPunct/>
        <w:topLinePunct w:val="0"/>
        <w:bidi w:val="0"/>
        <w:adjustRightInd w:val="0"/>
        <w:snapToGrid w:val="0"/>
        <w:spacing w:before="20" w:beforeAutospacing="0" w:line="360" w:lineRule="auto"/>
        <w:ind w:firstLine="482" w:firstLineChars="200"/>
        <w:jc w:val="center"/>
        <w:textAlignment w:val="auto"/>
        <w:rPr>
          <w:rFonts w:hint="eastAsia" w:ascii="宋体" w:hAnsi="宋体" w:eastAsia="宋体" w:cs="Times New Roman"/>
          <w:b/>
          <w:bCs/>
          <w:color w:val="000000" w:themeColor="text1"/>
          <w:kern w:val="0"/>
          <w:sz w:val="24"/>
          <w:szCs w:val="20"/>
          <w:highlight w:val="none"/>
          <w:lang w:val="en-US" w:eastAsia="zh-CN" w:bidi="ar-SA"/>
          <w14:textFill>
            <w14:solidFill>
              <w14:schemeClr w14:val="tx1"/>
            </w14:solidFill>
          </w14:textFill>
        </w:rPr>
      </w:pPr>
      <w:r>
        <w:rPr>
          <w:rFonts w:hint="eastAsia" w:ascii="宋体" w:hAnsi="宋体" w:eastAsia="宋体" w:cs="Times New Roman"/>
          <w:b/>
          <w:bCs/>
          <w:color w:val="000000" w:themeColor="text1"/>
          <w:kern w:val="0"/>
          <w:sz w:val="24"/>
          <w:szCs w:val="20"/>
          <w:highlight w:val="none"/>
          <w:lang w:val="en-US" w:eastAsia="zh-CN" w:bidi="ar-SA"/>
          <w14:textFill>
            <w14:solidFill>
              <w14:schemeClr w14:val="tx1"/>
            </w14:solidFill>
          </w14:textFill>
        </w:rPr>
        <w:t>（本合同仅供参考，最终以实际签订为准）</w:t>
      </w:r>
    </w:p>
    <w:p w14:paraId="12F9CA61">
      <w:pPr>
        <w:pageBreakBefore w:val="0"/>
        <w:widowControl w:val="0"/>
        <w:kinsoku/>
        <w:wordWrap/>
        <w:overflowPunct/>
        <w:topLinePunct w:val="0"/>
        <w:bidi w:val="0"/>
        <w:spacing w:before="120" w:line="360" w:lineRule="auto"/>
        <w:jc w:val="center"/>
        <w:textAlignment w:val="auto"/>
        <w:rPr>
          <w:rFonts w:hint="eastAsia" w:ascii="宋体" w:hAnsi="宋体" w:eastAsia="宋体" w:cs="宋体"/>
          <w:b/>
          <w:color w:val="000000" w:themeColor="text1"/>
          <w:kern w:val="2"/>
          <w:sz w:val="52"/>
          <w:szCs w:val="52"/>
          <w:highlight w:val="none"/>
          <w:lang w:bidi="ar-SA"/>
          <w14:textFill>
            <w14:solidFill>
              <w14:schemeClr w14:val="tx1"/>
            </w14:solidFill>
          </w14:textFill>
        </w:rPr>
      </w:pPr>
    </w:p>
    <w:p w14:paraId="198AB283">
      <w:pPr>
        <w:pageBreakBefore w:val="0"/>
        <w:widowControl w:val="0"/>
        <w:kinsoku/>
        <w:wordWrap/>
        <w:overflowPunct/>
        <w:topLinePunct w:val="0"/>
        <w:bidi w:val="0"/>
        <w:spacing w:before="120" w:line="360" w:lineRule="auto"/>
        <w:jc w:val="center"/>
        <w:textAlignment w:val="auto"/>
        <w:rPr>
          <w:rFonts w:hint="eastAsia" w:ascii="宋体" w:hAnsi="宋体" w:eastAsia="宋体" w:cs="宋体"/>
          <w:b/>
          <w:color w:val="000000" w:themeColor="text1"/>
          <w:kern w:val="2"/>
          <w:sz w:val="52"/>
          <w:szCs w:val="52"/>
          <w:highlight w:val="none"/>
          <w:lang w:bidi="ar-SA"/>
          <w14:textFill>
            <w14:solidFill>
              <w14:schemeClr w14:val="tx1"/>
            </w14:solidFill>
          </w14:textFill>
        </w:rPr>
      </w:pPr>
    </w:p>
    <w:p w14:paraId="4F589D96">
      <w:pPr>
        <w:pageBreakBefore w:val="0"/>
        <w:widowControl w:val="0"/>
        <w:kinsoku/>
        <w:wordWrap/>
        <w:overflowPunct/>
        <w:topLinePunct w:val="0"/>
        <w:bidi w:val="0"/>
        <w:spacing w:before="120" w:line="360" w:lineRule="auto"/>
        <w:jc w:val="center"/>
        <w:textAlignment w:val="auto"/>
        <w:rPr>
          <w:rFonts w:hint="eastAsia" w:ascii="宋体" w:hAnsi="宋体" w:eastAsia="宋体" w:cs="宋体"/>
          <w:b/>
          <w:color w:val="000000" w:themeColor="text1"/>
          <w:kern w:val="2"/>
          <w:sz w:val="52"/>
          <w:szCs w:val="52"/>
          <w:highlight w:val="none"/>
          <w:lang w:bidi="ar-SA"/>
          <w14:textFill>
            <w14:solidFill>
              <w14:schemeClr w14:val="tx1"/>
            </w14:solidFill>
          </w14:textFill>
        </w:rPr>
      </w:pPr>
    </w:p>
    <w:p w14:paraId="760378C7">
      <w:pPr>
        <w:pageBreakBefore w:val="0"/>
        <w:widowControl w:val="0"/>
        <w:kinsoku/>
        <w:wordWrap/>
        <w:overflowPunct/>
        <w:topLinePunct w:val="0"/>
        <w:bidi w:val="0"/>
        <w:spacing w:before="120" w:line="360" w:lineRule="auto"/>
        <w:jc w:val="center"/>
        <w:textAlignment w:val="auto"/>
        <w:rPr>
          <w:rFonts w:hint="eastAsia" w:ascii="宋体" w:hAnsi="宋体" w:eastAsia="宋体" w:cs="宋体"/>
          <w:b/>
          <w:color w:val="000000" w:themeColor="text1"/>
          <w:kern w:val="2"/>
          <w:sz w:val="52"/>
          <w:szCs w:val="52"/>
          <w:highlight w:val="none"/>
          <w:lang w:bidi="ar-SA"/>
          <w14:textFill>
            <w14:solidFill>
              <w14:schemeClr w14:val="tx1"/>
            </w14:solidFill>
          </w14:textFill>
        </w:rPr>
      </w:pPr>
      <w:r>
        <w:rPr>
          <w:rFonts w:hint="eastAsia" w:ascii="宋体" w:hAnsi="宋体" w:eastAsia="宋体" w:cs="宋体"/>
          <w:b/>
          <w:color w:val="000000" w:themeColor="text1"/>
          <w:kern w:val="2"/>
          <w:sz w:val="52"/>
          <w:szCs w:val="52"/>
          <w:highlight w:val="none"/>
          <w:lang w:bidi="ar-SA"/>
          <w14:textFill>
            <w14:solidFill>
              <w14:schemeClr w14:val="tx1"/>
            </w14:solidFill>
          </w14:textFill>
        </w:rPr>
        <w:t>建设项目施工合同</w:t>
      </w:r>
    </w:p>
    <w:p w14:paraId="15AAE3B7">
      <w:pPr>
        <w:pageBreakBefore w:val="0"/>
        <w:widowControl w:val="0"/>
        <w:kinsoku/>
        <w:wordWrap/>
        <w:overflowPunct/>
        <w:topLinePunct w:val="0"/>
        <w:bidi w:val="0"/>
        <w:spacing w:before="120" w:line="360" w:lineRule="auto"/>
        <w:jc w:val="both"/>
        <w:textAlignment w:val="auto"/>
        <w:rPr>
          <w:rFonts w:ascii="Times New Roman" w:hAnsi="Times New Roman" w:eastAsia="宋体" w:cs="Times New Roman"/>
          <w:b/>
          <w:color w:val="000000" w:themeColor="text1"/>
          <w:kern w:val="2"/>
          <w:sz w:val="28"/>
          <w:szCs w:val="22"/>
          <w:highlight w:val="none"/>
          <w:lang w:val="en-US" w:eastAsia="zh-CN" w:bidi="ar-SA"/>
          <w14:textFill>
            <w14:solidFill>
              <w14:schemeClr w14:val="tx1"/>
            </w14:solidFill>
          </w14:textFill>
        </w:rPr>
      </w:pPr>
    </w:p>
    <w:p w14:paraId="7F5D0C9C">
      <w:pPr>
        <w:pageBreakBefore w:val="0"/>
        <w:widowControl w:val="0"/>
        <w:kinsoku/>
        <w:wordWrap/>
        <w:overflowPunct/>
        <w:topLinePunct w:val="0"/>
        <w:bidi w:val="0"/>
        <w:spacing w:before="120" w:line="360" w:lineRule="auto"/>
        <w:jc w:val="center"/>
        <w:textAlignment w:val="auto"/>
        <w:rPr>
          <w:rFonts w:ascii="宋体" w:hAnsi="宋体" w:eastAsia="宋体" w:cs="宋体"/>
          <w:b/>
          <w:color w:val="000000" w:themeColor="text1"/>
          <w:kern w:val="2"/>
          <w:sz w:val="52"/>
          <w:szCs w:val="52"/>
          <w:highlight w:val="none"/>
          <w:lang w:bidi="ar-SA"/>
          <w14:textFill>
            <w14:solidFill>
              <w14:schemeClr w14:val="tx1"/>
            </w14:solidFill>
          </w14:textFill>
        </w:rPr>
      </w:pPr>
    </w:p>
    <w:p w14:paraId="28E90DC9">
      <w:pPr>
        <w:pageBreakBefore w:val="0"/>
        <w:widowControl w:val="0"/>
        <w:kinsoku/>
        <w:wordWrap/>
        <w:overflowPunct/>
        <w:topLinePunct w:val="0"/>
        <w:bidi w:val="0"/>
        <w:spacing w:before="120" w:line="360" w:lineRule="auto"/>
        <w:jc w:val="both"/>
        <w:textAlignment w:val="auto"/>
        <w:rPr>
          <w:rFonts w:ascii="宋体" w:hAnsi="宋体" w:eastAsia="宋体" w:cs="宋体"/>
          <w:b/>
          <w:color w:val="000000" w:themeColor="text1"/>
          <w:kern w:val="2"/>
          <w:sz w:val="28"/>
          <w:szCs w:val="28"/>
          <w:highlight w:val="none"/>
          <w:lang w:bidi="ar-SA"/>
          <w14:textFill>
            <w14:solidFill>
              <w14:schemeClr w14:val="tx1"/>
            </w14:solidFill>
          </w14:textFill>
        </w:rPr>
      </w:pPr>
    </w:p>
    <w:p w14:paraId="20742D88">
      <w:pPr>
        <w:pageBreakBefore w:val="0"/>
        <w:widowControl w:val="0"/>
        <w:kinsoku/>
        <w:wordWrap/>
        <w:overflowPunct/>
        <w:topLinePunct w:val="0"/>
        <w:bidi w:val="0"/>
        <w:spacing w:before="120" w:line="360" w:lineRule="auto"/>
        <w:jc w:val="both"/>
        <w:textAlignment w:val="auto"/>
        <w:rPr>
          <w:rFonts w:ascii="宋体" w:hAnsi="宋体" w:eastAsia="宋体" w:cs="宋体"/>
          <w:b/>
          <w:color w:val="000000" w:themeColor="text1"/>
          <w:kern w:val="2"/>
          <w:sz w:val="28"/>
          <w:szCs w:val="28"/>
          <w:highlight w:val="none"/>
          <w:lang w:bidi="ar-SA"/>
          <w14:textFill>
            <w14:solidFill>
              <w14:schemeClr w14:val="tx1"/>
            </w14:solidFill>
          </w14:textFill>
        </w:rPr>
      </w:pPr>
    </w:p>
    <w:p w14:paraId="187A3405">
      <w:pPr>
        <w:pageBreakBefore w:val="0"/>
        <w:widowControl w:val="0"/>
        <w:kinsoku/>
        <w:wordWrap/>
        <w:overflowPunct/>
        <w:topLinePunct w:val="0"/>
        <w:bidi w:val="0"/>
        <w:spacing w:before="120" w:line="360" w:lineRule="auto"/>
        <w:jc w:val="both"/>
        <w:textAlignment w:val="auto"/>
        <w:rPr>
          <w:rFonts w:ascii="宋体" w:hAnsi="宋体" w:eastAsia="宋体" w:cs="宋体"/>
          <w:b/>
          <w:color w:val="000000" w:themeColor="text1"/>
          <w:kern w:val="2"/>
          <w:sz w:val="28"/>
          <w:szCs w:val="28"/>
          <w:highlight w:val="none"/>
          <w:lang w:bidi="ar-SA"/>
          <w14:textFill>
            <w14:solidFill>
              <w14:schemeClr w14:val="tx1"/>
            </w14:solidFill>
          </w14:textFill>
        </w:rPr>
      </w:pPr>
    </w:p>
    <w:p w14:paraId="131CB6F0">
      <w:pPr>
        <w:keepNext w:val="0"/>
        <w:keepLines w:val="0"/>
        <w:pageBreakBefore w:val="0"/>
        <w:widowControl w:val="0"/>
        <w:kinsoku/>
        <w:wordWrap/>
        <w:overflowPunct/>
        <w:topLinePunct w:val="0"/>
        <w:autoSpaceDE/>
        <w:autoSpaceDN/>
        <w:bidi w:val="0"/>
        <w:adjustRightInd/>
        <w:snapToGrid/>
        <w:spacing w:before="120" w:line="240" w:lineRule="auto"/>
        <w:ind w:right="3108" w:rightChars="1295" w:firstLine="2738" w:firstLineChars="1304"/>
        <w:jc w:val="distribute"/>
        <w:textAlignment w:val="auto"/>
        <w:rPr>
          <w:rFonts w:ascii="宋体" w:hAnsi="宋体" w:eastAsia="宋体" w:cs="宋体"/>
          <w:b/>
          <w:color w:val="000000" w:themeColor="text1"/>
          <w:kern w:val="2"/>
          <w:sz w:val="32"/>
          <w:szCs w:val="28"/>
          <w:highlight w:val="none"/>
          <w:lang w:bidi="ar-SA"/>
          <w14:textFill>
            <w14:solidFill>
              <w14:schemeClr w14:val="tx1"/>
            </w14:solidFill>
          </w14:textFill>
        </w:rPr>
      </w:pPr>
      <w:r>
        <w:rPr>
          <w:rFonts w:ascii="宋体" w:hAnsi="宋体" w:eastAsia="宋体" w:cs="宋体"/>
          <w:color w:val="000000" w:themeColor="text1"/>
          <w:kern w:val="2"/>
          <w:sz w:val="21"/>
          <w:szCs w:val="22"/>
          <w:highlight w:val="none"/>
          <w:lang w:bidi="ar-SA"/>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04850" cy="1018540"/>
                <wp:effectExtent l="4445" t="4445" r="14605" b="5715"/>
                <wp:wrapNone/>
                <wp:docPr id="4" name="文本框 4"/>
                <wp:cNvGraphicFramePr/>
                <a:graphic xmlns:a="http://schemas.openxmlformats.org/drawingml/2006/main">
                  <a:graphicData uri="http://schemas.microsoft.com/office/word/2010/wordprocessingShape">
                    <wps:wsp>
                      <wps:cNvSpPr txBox="1"/>
                      <wps:spPr>
                        <a:xfrm>
                          <a:off x="0" y="0"/>
                          <a:ext cx="723900" cy="1018540"/>
                        </a:xfrm>
                        <a:prstGeom prst="rect">
                          <a:avLst/>
                        </a:prstGeom>
                        <a:noFill/>
                        <a:ln w="9525" cap="flat" cmpd="sng">
                          <a:solidFill>
                            <a:srgbClr val="FFFFFF"/>
                          </a:solidFill>
                          <a:prstDash val="solid"/>
                          <a:miter/>
                          <a:headEnd type="none" w="med" len="med"/>
                          <a:tailEnd type="none" w="med" len="med"/>
                        </a:ln>
                        <a:effectLst/>
                      </wps:spPr>
                      <wps:txbx>
                        <w:txbxContent>
                          <w:p w14:paraId="258327BB">
                            <w:pPr>
                              <w:widowControl w:val="0"/>
                              <w:spacing w:before="120"/>
                              <w:jc w:val="both"/>
                              <w:rPr>
                                <w:rFonts w:hint="eastAsia" w:ascii="Times New Roman" w:hAnsi="Times New Roman" w:eastAsia="宋体" w:cs="Times New Roman"/>
                                <w:b/>
                                <w:bCs/>
                                <w:kern w:val="2"/>
                                <w:sz w:val="24"/>
                                <w:szCs w:val="24"/>
                                <w:lang w:bidi="ar-SA"/>
                              </w:rPr>
                            </w:pPr>
                          </w:p>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wps:txbx>
                      <wps:bodyPr upright="1"/>
                    </wps:wsp>
                  </a:graphicData>
                </a:graphic>
              </wp:anchor>
            </w:drawing>
          </mc:Choice>
          <mc:Fallback>
            <w:pict>
              <v:shape id="_x0000_s1026" o:spid="_x0000_s1026" o:spt="202" type="#_x0000_t202" style="position:absolute;left:0pt;margin-left:312.6pt;margin-top:9.45pt;height:80.2pt;width:55.5pt;z-index:251659264;mso-width-relative:page;mso-height-relative:page;" filled="f" stroked="t" coordsize="21600,21600" o:gfxdata="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dEvTbZAAAACgEAAA8AAAAAAAAAAQAg&#10;AAAAIgAAAGRycy9kb3ducmV2LnhtbFBLAQIUABQAAAAIAIdO4kB5kQR7DQIAABsEAAAOAAAAAAAA&#10;AAEAIAAAACgBAABkcnMvZTJvRG9jLnhtbFBLBQYAAAAABgAGAFkBAACnBQAAAAA=&#10;">
                <v:fill on="f" focussize="0,0"/>
                <v:stroke color="#FFFFFF" joinstyle="miter"/>
                <v:imagedata o:title=""/>
                <o:lock v:ext="edit" aspectratio="f"/>
                <v:textbox>
                  <w:txbxContent>
                    <w:p w14:paraId="258327BB">
                      <w:pPr>
                        <w:widowControl w:val="0"/>
                        <w:spacing w:before="120"/>
                        <w:jc w:val="both"/>
                        <w:rPr>
                          <w:rFonts w:hint="eastAsia" w:ascii="Times New Roman" w:hAnsi="Times New Roman" w:eastAsia="宋体" w:cs="Times New Roman"/>
                          <w:b/>
                          <w:bCs/>
                          <w:kern w:val="2"/>
                          <w:sz w:val="24"/>
                          <w:szCs w:val="24"/>
                          <w:lang w:bidi="ar-SA"/>
                        </w:rPr>
                      </w:pPr>
                    </w:p>
                    <w:p w14:paraId="09087603">
                      <w:pPr>
                        <w:widowControl w:val="0"/>
                        <w:spacing w:before="120"/>
                        <w:jc w:val="both"/>
                        <w:rPr>
                          <w:rFonts w:ascii="Times New Roman" w:hAnsi="Times New Roman" w:eastAsia="宋体" w:cs="Times New Roman"/>
                          <w:b/>
                          <w:bCs/>
                          <w:kern w:val="2"/>
                          <w:sz w:val="32"/>
                          <w:szCs w:val="22"/>
                          <w:lang w:bidi="ar-SA"/>
                        </w:rPr>
                      </w:pPr>
                      <w:r>
                        <w:rPr>
                          <w:rFonts w:hint="eastAsia" w:ascii="Times New Roman" w:hAnsi="Times New Roman" w:eastAsia="宋体" w:cs="Times New Roman"/>
                          <w:b/>
                          <w:bCs/>
                          <w:kern w:val="2"/>
                          <w:sz w:val="32"/>
                          <w:szCs w:val="22"/>
                          <w:lang w:bidi="ar-SA"/>
                        </w:rPr>
                        <w:t>制定</w:t>
                      </w:r>
                    </w:p>
                  </w:txbxContent>
                </v:textbox>
              </v:shape>
            </w:pict>
          </mc:Fallback>
        </mc:AlternateContent>
      </w:r>
      <w:r>
        <w:rPr>
          <w:rFonts w:hint="eastAsia" w:ascii="宋体" w:hAnsi="宋体" w:eastAsia="宋体" w:cs="宋体"/>
          <w:b/>
          <w:color w:val="000000" w:themeColor="text1"/>
          <w:kern w:val="2"/>
          <w:sz w:val="32"/>
          <w:szCs w:val="28"/>
          <w:highlight w:val="none"/>
          <w:lang w:bidi="ar-SA"/>
          <w14:textFill>
            <w14:solidFill>
              <w14:schemeClr w14:val="tx1"/>
            </w14:solidFill>
          </w14:textFill>
        </w:rPr>
        <w:t>住房城乡建设部</w:t>
      </w:r>
    </w:p>
    <w:p w14:paraId="01E060AE">
      <w:pPr>
        <w:keepNext w:val="0"/>
        <w:keepLines w:val="0"/>
        <w:pageBreakBefore w:val="0"/>
        <w:widowControl w:val="0"/>
        <w:kinsoku/>
        <w:wordWrap/>
        <w:overflowPunct/>
        <w:topLinePunct w:val="0"/>
        <w:autoSpaceDE/>
        <w:autoSpaceDN/>
        <w:bidi w:val="0"/>
        <w:adjustRightInd/>
        <w:snapToGrid/>
        <w:spacing w:before="120" w:line="240" w:lineRule="auto"/>
        <w:ind w:right="3108" w:rightChars="1295" w:firstLine="2750" w:firstLineChars="856"/>
        <w:jc w:val="distribute"/>
        <w:textAlignment w:val="auto"/>
        <w:rPr>
          <w:rFonts w:hint="eastAsia" w:ascii="宋体" w:hAnsi="宋体" w:eastAsia="宋体" w:cs="宋体"/>
          <w:b/>
          <w:color w:val="000000" w:themeColor="text1"/>
          <w:kern w:val="2"/>
          <w:sz w:val="32"/>
          <w:szCs w:val="28"/>
          <w:highlight w:val="none"/>
          <w:lang w:bidi="ar-SA"/>
          <w14:textFill>
            <w14:solidFill>
              <w14:schemeClr w14:val="tx1"/>
            </w14:solidFill>
          </w14:textFill>
        </w:rPr>
      </w:pPr>
      <w:r>
        <w:rPr>
          <w:rFonts w:hint="eastAsia" w:ascii="宋体" w:hAnsi="宋体" w:eastAsia="宋体" w:cs="宋体"/>
          <w:b/>
          <w:color w:val="000000" w:themeColor="text1"/>
          <w:kern w:val="2"/>
          <w:sz w:val="32"/>
          <w:szCs w:val="28"/>
          <w:highlight w:val="none"/>
          <w:lang w:bidi="ar-SA"/>
          <w14:textFill>
            <w14:solidFill>
              <w14:schemeClr w14:val="tx1"/>
            </w14:solidFill>
          </w14:textFill>
        </w:rPr>
        <w:t>国家工商行政管</w:t>
      </w:r>
    </w:p>
    <w:p w14:paraId="3D7496D6">
      <w:pPr>
        <w:keepNext w:val="0"/>
        <w:keepLines w:val="0"/>
        <w:pageBreakBefore w:val="0"/>
        <w:widowControl w:val="0"/>
        <w:kinsoku/>
        <w:wordWrap/>
        <w:overflowPunct/>
        <w:topLinePunct w:val="0"/>
        <w:autoSpaceDE/>
        <w:autoSpaceDN/>
        <w:bidi w:val="0"/>
        <w:adjustRightInd/>
        <w:snapToGrid/>
        <w:spacing w:before="120" w:line="240" w:lineRule="auto"/>
        <w:ind w:right="3108" w:rightChars="1295" w:firstLine="2750" w:firstLineChars="856"/>
        <w:jc w:val="distribute"/>
        <w:textAlignment w:val="auto"/>
        <w:rPr>
          <w:rFonts w:ascii="宋体" w:hAnsi="宋体" w:eastAsia="宋体" w:cs="宋体"/>
          <w:b/>
          <w:color w:val="000000" w:themeColor="text1"/>
          <w:kern w:val="2"/>
          <w:sz w:val="32"/>
          <w:szCs w:val="28"/>
          <w:highlight w:val="none"/>
          <w:lang w:bidi="ar-SA"/>
          <w14:textFill>
            <w14:solidFill>
              <w14:schemeClr w14:val="tx1"/>
            </w14:solidFill>
          </w14:textFill>
        </w:rPr>
      </w:pPr>
      <w:r>
        <w:rPr>
          <w:rFonts w:hint="eastAsia" w:ascii="宋体" w:hAnsi="宋体" w:eastAsia="宋体" w:cs="宋体"/>
          <w:b/>
          <w:color w:val="000000" w:themeColor="text1"/>
          <w:kern w:val="2"/>
          <w:sz w:val="32"/>
          <w:szCs w:val="28"/>
          <w:highlight w:val="none"/>
          <w:lang w:bidi="ar-SA"/>
          <w14:textFill>
            <w14:solidFill>
              <w14:schemeClr w14:val="tx1"/>
            </w14:solidFill>
          </w14:textFill>
        </w:rPr>
        <w:t>理总局</w:t>
      </w:r>
    </w:p>
    <w:p w14:paraId="3673CEBC">
      <w:pPr>
        <w:pageBreakBefore w:val="0"/>
        <w:widowControl w:val="0"/>
        <w:kinsoku/>
        <w:wordWrap/>
        <w:overflowPunct/>
        <w:topLinePunct w:val="0"/>
        <w:bidi w:val="0"/>
        <w:spacing w:before="120" w:line="360" w:lineRule="auto"/>
        <w:jc w:val="both"/>
        <w:textAlignment w:val="auto"/>
        <w:rPr>
          <w:rFonts w:ascii="Times New Roman" w:hAnsi="Times New Roman" w:eastAsia="宋体" w:cs="Times New Roman"/>
          <w:color w:val="000000" w:themeColor="text1"/>
          <w:kern w:val="2"/>
          <w:sz w:val="21"/>
          <w:szCs w:val="22"/>
          <w:highlight w:val="none"/>
          <w:lang w:val="zh-CN" w:bidi="ar-SA"/>
          <w14:textFill>
            <w14:solidFill>
              <w14:schemeClr w14:val="tx1"/>
            </w14:solidFill>
          </w14:textFill>
        </w:rPr>
      </w:pPr>
      <w:bookmarkStart w:id="0" w:name="_Toc28526"/>
      <w:bookmarkStart w:id="1" w:name="_Toc12288077"/>
      <w:bookmarkStart w:id="2" w:name="_Toc27320"/>
      <w:bookmarkStart w:id="3" w:name="_Toc296503025"/>
      <w:bookmarkStart w:id="4" w:name="_Toc296890982"/>
      <w:r>
        <w:rPr>
          <w:rFonts w:hint="eastAsia" w:ascii="Times New Roman" w:hAnsi="Times New Roman" w:eastAsia="宋体" w:cs="Times New Roman"/>
          <w:color w:val="000000" w:themeColor="text1"/>
          <w:kern w:val="2"/>
          <w:sz w:val="21"/>
          <w:szCs w:val="22"/>
          <w:highlight w:val="none"/>
          <w:lang w:val="zh-CN" w:bidi="ar-SA"/>
          <w14:textFill>
            <w14:solidFill>
              <w14:schemeClr w14:val="tx1"/>
            </w14:solidFill>
          </w14:textFill>
        </w:rPr>
        <w:br w:type="page"/>
      </w:r>
    </w:p>
    <w:bookmarkEnd w:id="0"/>
    <w:bookmarkEnd w:id="1"/>
    <w:bookmarkEnd w:id="2"/>
    <w:p w14:paraId="6C5F7ED7">
      <w:pPr>
        <w:keepNext/>
        <w:keepLines/>
        <w:pageBreakBefore w:val="0"/>
        <w:widowControl w:val="0"/>
        <w:kinsoku/>
        <w:wordWrap/>
        <w:overflowPunct/>
        <w:topLinePunct w:val="0"/>
        <w:bidi w:val="0"/>
        <w:spacing w:before="140" w:beforeLines="0" w:beforeAutospacing="0" w:after="140" w:afterLines="0" w:afterAutospacing="0" w:line="360" w:lineRule="auto"/>
        <w:jc w:val="center"/>
        <w:textAlignment w:val="auto"/>
        <w:outlineLvl w:val="1"/>
        <w:rPr>
          <w:rFonts w:ascii="宋体" w:hAnsi="宋体" w:eastAsia="宋体" w:cs="Times New Roman"/>
          <w:b/>
          <w:color w:val="000000" w:themeColor="text1"/>
          <w:kern w:val="0"/>
          <w:sz w:val="30"/>
          <w:szCs w:val="20"/>
          <w:highlight w:val="none"/>
          <w:lang w:val="en-US" w:eastAsia="zh-CN" w:bidi="ar-SA"/>
          <w14:textFill>
            <w14:solidFill>
              <w14:schemeClr w14:val="tx1"/>
            </w14:solidFill>
          </w14:textFill>
        </w:rPr>
      </w:pPr>
      <w:bookmarkStart w:id="5" w:name="_Toc351203480"/>
      <w:bookmarkStart w:id="6" w:name="_Toc19587"/>
      <w:r>
        <w:rPr>
          <w:rFonts w:hint="eastAsia" w:ascii="宋体" w:hAnsi="宋体" w:eastAsia="宋体" w:cs="Times New Roman"/>
          <w:b/>
          <w:color w:val="000000" w:themeColor="text1"/>
          <w:kern w:val="0"/>
          <w:sz w:val="30"/>
          <w:szCs w:val="20"/>
          <w:highlight w:val="none"/>
          <w:lang w:val="en-US" w:eastAsia="zh-CN" w:bidi="ar-SA"/>
          <w14:textFill>
            <w14:solidFill>
              <w14:schemeClr w14:val="tx1"/>
            </w14:solidFill>
          </w14:textFill>
        </w:rPr>
        <w:t>第一部分 合同协议书</w:t>
      </w:r>
      <w:bookmarkEnd w:id="3"/>
      <w:bookmarkEnd w:id="4"/>
      <w:bookmarkEnd w:id="5"/>
      <w:bookmarkEnd w:id="6"/>
    </w:p>
    <w:p w14:paraId="770D2D6F">
      <w:pPr>
        <w:pageBreakBefore w:val="0"/>
        <w:widowControl w:val="0"/>
        <w:kinsoku/>
        <w:wordWrap/>
        <w:overflowPunct/>
        <w:topLinePunct w:val="0"/>
        <w:bidi w:val="0"/>
        <w:spacing w:before="120" w:line="360" w:lineRule="auto"/>
        <w:jc w:val="both"/>
        <w:textAlignment w:val="auto"/>
        <w:rPr>
          <w:rFonts w:ascii="宋体" w:hAnsi="宋体" w:eastAsia="宋体" w:cs="宋体"/>
          <w:b/>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b/>
          <w:color w:val="000000" w:themeColor="text1"/>
          <w:kern w:val="2"/>
          <w:sz w:val="24"/>
          <w:szCs w:val="24"/>
          <w:highlight w:val="none"/>
          <w:lang w:bidi="ar-SA"/>
          <w14:textFill>
            <w14:solidFill>
              <w14:schemeClr w14:val="tx1"/>
            </w14:solidFill>
          </w14:textFill>
        </w:rPr>
        <w:t>发包人（全称）：</w:t>
      </w:r>
      <w:r>
        <w:rPr>
          <w:rFonts w:hint="eastAsia" w:ascii="宋体" w:hAnsi="宋体" w:eastAsia="宋体" w:cs="宋体"/>
          <w:b/>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b/>
          <w:color w:val="000000" w:themeColor="text1"/>
          <w:kern w:val="2"/>
          <w:sz w:val="24"/>
          <w:szCs w:val="24"/>
          <w:highlight w:val="none"/>
          <w:u w:val="single"/>
          <w:lang w:bidi="ar-SA"/>
          <w14:textFill>
            <w14:solidFill>
              <w14:schemeClr w14:val="tx1"/>
            </w14:solidFill>
          </w14:textFill>
        </w:rPr>
        <w:t xml:space="preserve">    </w:t>
      </w:r>
    </w:p>
    <w:p w14:paraId="33A96276">
      <w:pPr>
        <w:pageBreakBefore w:val="0"/>
        <w:widowControl w:val="0"/>
        <w:kinsoku/>
        <w:wordWrap/>
        <w:overflowPunct/>
        <w:topLinePunct w:val="0"/>
        <w:bidi w:val="0"/>
        <w:spacing w:before="120" w:line="360" w:lineRule="auto"/>
        <w:jc w:val="both"/>
        <w:textAlignment w:val="auto"/>
        <w:rPr>
          <w:rFonts w:ascii="宋体" w:hAnsi="宋体" w:eastAsia="宋体" w:cs="宋体"/>
          <w:b/>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b/>
          <w:color w:val="000000" w:themeColor="text1"/>
          <w:kern w:val="2"/>
          <w:sz w:val="24"/>
          <w:szCs w:val="24"/>
          <w:highlight w:val="none"/>
          <w:lang w:bidi="ar-SA"/>
          <w14:textFill>
            <w14:solidFill>
              <w14:schemeClr w14:val="tx1"/>
            </w14:solidFill>
          </w14:textFill>
        </w:rPr>
        <w:t>承包人（全称）：</w:t>
      </w:r>
      <w:r>
        <w:rPr>
          <w:rFonts w:hint="eastAsia" w:ascii="宋体" w:hAnsi="宋体" w:eastAsia="宋体" w:cs="宋体"/>
          <w:b/>
          <w:color w:val="000000" w:themeColor="text1"/>
          <w:kern w:val="2"/>
          <w:sz w:val="24"/>
          <w:szCs w:val="24"/>
          <w:highlight w:val="none"/>
          <w:u w:val="single"/>
          <w:lang w:bidi="ar-SA"/>
          <w14:textFill>
            <w14:solidFill>
              <w14:schemeClr w14:val="tx1"/>
            </w14:solidFill>
          </w14:textFill>
        </w:rPr>
        <w:t xml:space="preserve">                </w:t>
      </w:r>
    </w:p>
    <w:p w14:paraId="3167973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根据《中华人民共和国民法典》、《中华人民共和国建筑法》及有关法律规定，遵循平等、自愿、公平和诚实信用的原则，双方就</w:t>
      </w:r>
      <w:r>
        <w:rPr>
          <w:rFonts w:hint="eastAsia" w:ascii="宋体" w:hAnsi="宋体" w:eastAsia="宋体" w:cs="宋体"/>
          <w:color w:val="000000" w:themeColor="text1"/>
          <w:kern w:val="2"/>
          <w:sz w:val="24"/>
          <w:szCs w:val="22"/>
          <w:highlight w:val="none"/>
          <w:u w:val="single"/>
          <w:lang w:eastAsia="zh-CN" w:bidi="ar-SA"/>
          <w14:textFill>
            <w14:solidFill>
              <w14:schemeClr w14:val="tx1"/>
            </w14:solidFill>
          </w14:textFill>
        </w:rPr>
        <w:t>陕西学前师范学院改善办学基本条件项目-消防改造项目</w:t>
      </w:r>
      <w:r>
        <w:rPr>
          <w:rFonts w:hint="eastAsia" w:ascii="宋体" w:hAnsi="宋体" w:eastAsia="宋体" w:cs="宋体"/>
          <w:color w:val="000000" w:themeColor="text1"/>
          <w:kern w:val="2"/>
          <w:sz w:val="24"/>
          <w:szCs w:val="24"/>
          <w:highlight w:val="none"/>
          <w:lang w:bidi="ar-SA"/>
          <w14:textFill>
            <w14:solidFill>
              <w14:schemeClr w14:val="tx1"/>
            </w14:solidFill>
          </w14:textFill>
        </w:rPr>
        <w:t>施工及有关事项协商一致，共同达成如下协议：</w:t>
      </w:r>
    </w:p>
    <w:p w14:paraId="6E5C027C">
      <w:pPr>
        <w:pageBreakBefore w:val="0"/>
        <w:widowControl w:val="0"/>
        <w:kinsoku/>
        <w:wordWrap/>
        <w:overflowPunct/>
        <w:topLinePunct w:val="0"/>
        <w:bidi w:val="0"/>
        <w:spacing w:before="120" w:line="360" w:lineRule="auto"/>
        <w:jc w:val="both"/>
        <w:textAlignment w:val="auto"/>
        <w:rPr>
          <w:rFonts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7" w:name="_Toc351203481"/>
      <w:bookmarkStart w:id="8" w:name="_Toc8463"/>
      <w:bookmarkStart w:id="9" w:name="_Toc8779"/>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一、工程概况</w:t>
      </w:r>
      <w:bookmarkEnd w:id="7"/>
      <w:bookmarkEnd w:id="8"/>
      <w:bookmarkEnd w:id="9"/>
    </w:p>
    <w:p w14:paraId="022D9A0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pPr>
      <w:r>
        <w:rPr>
          <w:rFonts w:ascii="宋体" w:hAnsi="宋体" w:eastAsia="宋体" w:cs="宋体"/>
          <w:bCs/>
          <w:color w:val="000000" w:themeColor="text1"/>
          <w:kern w:val="2"/>
          <w:sz w:val="24"/>
          <w:szCs w:val="24"/>
          <w:highlight w:val="none"/>
          <w:lang w:bidi="ar-SA"/>
          <w14:textFill>
            <w14:solidFill>
              <w14:schemeClr w14:val="tx1"/>
            </w14:solidFill>
          </w14:textFill>
        </w:rPr>
        <w:t>1.</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工程名称：</w:t>
      </w:r>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陕西学前师范学院改善办学基本条件项目-消防改造项目</w:t>
      </w:r>
    </w:p>
    <w:p w14:paraId="144F55B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default" w:ascii="宋体" w:hAnsi="宋体" w:eastAsia="宋体" w:cs="宋体"/>
          <w:bCs/>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2.工程地点：</w:t>
      </w:r>
      <w:r>
        <w:rPr>
          <w:rFonts w:hint="eastAsia" w:ascii="宋体" w:hAnsi="宋体" w:eastAsia="宋体" w:cs="宋体"/>
          <w:bCs/>
          <w:color w:val="000000" w:themeColor="text1"/>
          <w:kern w:val="2"/>
          <w:sz w:val="24"/>
          <w:szCs w:val="24"/>
          <w:highlight w:val="none"/>
          <w:u w:val="single"/>
          <w:lang w:val="en-US" w:eastAsia="zh-CN" w:bidi="ar-SA"/>
          <w14:textFill>
            <w14:solidFill>
              <w14:schemeClr w14:val="tx1"/>
            </w14:solidFill>
          </w14:textFill>
        </w:rPr>
        <w:t>西安市内，采购人指定地点</w:t>
      </w:r>
    </w:p>
    <w:p w14:paraId="16AC96D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ascii="宋体" w:hAnsi="宋体" w:eastAsia="宋体" w:cs="宋体"/>
          <w:bCs/>
          <w:color w:val="000000" w:themeColor="text1"/>
          <w:kern w:val="2"/>
          <w:sz w:val="24"/>
          <w:szCs w:val="24"/>
          <w:highlight w:val="none"/>
          <w:lang w:bidi="ar-SA"/>
          <w14:textFill>
            <w14:solidFill>
              <w14:schemeClr w14:val="tx1"/>
            </w14:solidFill>
          </w14:textFill>
        </w:rPr>
        <w:t>3.</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资金来源：</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财政资金</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3590F8F2">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4.工程内容：</w:t>
      </w:r>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w:t>
      </w:r>
      <w:r>
        <w:rPr>
          <w:rFonts w:hint="eastAsia" w:ascii="宋体" w:hAnsi="宋体" w:eastAsia="宋体" w:cs="宋体"/>
          <w:bCs/>
          <w:color w:val="000000" w:themeColor="text1"/>
          <w:kern w:val="2"/>
          <w:sz w:val="24"/>
          <w:szCs w:val="24"/>
          <w:highlight w:val="none"/>
          <w:u w:val="single"/>
          <w:lang w:val="en-US" w:eastAsia="zh-CN" w:bidi="ar-SA"/>
          <w14:textFill>
            <w14:solidFill>
              <w14:schemeClr w14:val="tx1"/>
            </w14:solidFill>
          </w14:textFill>
        </w:rPr>
        <w:t>1</w:t>
      </w:r>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）陕西学前师范学院消防改造主要内容：图书馆、食堂、能源楼、行政楼、1~5号教学楼、幼儿园设计图纸及甲方提供的消防整改设计方案 全部内容。（</w:t>
      </w:r>
      <w:r>
        <w:rPr>
          <w:rFonts w:hint="eastAsia" w:ascii="宋体" w:hAnsi="宋体" w:eastAsia="宋体" w:cs="宋体"/>
          <w:bCs/>
          <w:color w:val="000000" w:themeColor="text1"/>
          <w:kern w:val="2"/>
          <w:sz w:val="24"/>
          <w:szCs w:val="24"/>
          <w:highlight w:val="none"/>
          <w:u w:val="single"/>
          <w:lang w:val="en-US" w:eastAsia="zh-CN" w:bidi="ar-SA"/>
          <w14:textFill>
            <w14:solidFill>
              <w14:schemeClr w14:val="tx1"/>
            </w14:solidFill>
          </w14:textFill>
        </w:rPr>
        <w:t>2</w:t>
      </w:r>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根据住建部门的技术指导函，结合设计资料及楼宇现状，对楼宇消防设施进行维修或技术性加强，以满足楼宇建设时期的消防规范，实现消防功能达标；本项目所维修内容包括但不限于消防技术指导函、设计文件、工程量清单中所有问题，具体改造效果以达到验收条件为准。</w:t>
      </w:r>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w:t>
      </w:r>
      <w:r>
        <w:rPr>
          <w:rFonts w:hint="eastAsia" w:ascii="宋体" w:hAnsi="宋体" w:eastAsia="宋体" w:cs="宋体"/>
          <w:bCs/>
          <w:color w:val="000000" w:themeColor="text1"/>
          <w:kern w:val="2"/>
          <w:sz w:val="24"/>
          <w:szCs w:val="24"/>
          <w:highlight w:val="none"/>
          <w:u w:val="single"/>
          <w:lang w:val="en-US" w:eastAsia="zh-CN" w:bidi="ar-SA"/>
          <w14:textFill>
            <w14:solidFill>
              <w14:schemeClr w14:val="tx1"/>
            </w14:solidFill>
          </w14:textFill>
        </w:rPr>
        <w:t>3</w:t>
      </w:r>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）结合《陕西省教育厅 陕西省住房和城乡建设厅 陕西省消防救援总队关于开展排查化解高校校内建筑消防安全隐患专项行动的通知》及《已交楼未进行消防验收三年攻坚行动工作指南（试行）》要求，学校前期建设手续达标或在以上《专项行动工作指南》允许的情况下，必须满足招标人制定的规划、功能、规模，达到既交付并能全面满足使用要求（“交钥匙”），且必须满足国家相关规范和标准，通过政府相关部门验收，</w:t>
      </w:r>
      <w:r>
        <w:rPr>
          <w:rFonts w:hint="eastAsia" w:ascii="宋体" w:hAnsi="宋体" w:cs="宋体"/>
          <w:bCs/>
          <w:color w:val="000000" w:themeColor="text1"/>
          <w:kern w:val="2"/>
          <w:sz w:val="24"/>
          <w:szCs w:val="24"/>
          <w:highlight w:val="none"/>
          <w:u w:val="single"/>
          <w:lang w:eastAsia="zh-CN" w:bidi="ar-SA"/>
          <w14:textFill>
            <w14:solidFill>
              <w14:schemeClr w14:val="tx1"/>
            </w14:solidFill>
          </w14:textFill>
        </w:rPr>
        <w:t>取得住建部门建设工程消防评估论证意见函</w:t>
      </w:r>
    </w:p>
    <w:p w14:paraId="609DB7AC">
      <w:pPr>
        <w:pageBreakBefore w:val="0"/>
        <w:widowControl w:val="0"/>
        <w:kinsoku/>
        <w:wordWrap/>
        <w:overflowPunct/>
        <w:topLinePunct w:val="0"/>
        <w:bidi w:val="0"/>
        <w:adjustRightInd w:val="0"/>
        <w:snapToGrid w:val="0"/>
        <w:spacing w:before="120" w:line="360" w:lineRule="auto"/>
        <w:ind w:left="1" w:firstLine="480" w:firstLineChars="200"/>
        <w:jc w:val="both"/>
        <w:textAlignment w:val="auto"/>
        <w:rPr>
          <w:rFonts w:ascii="宋体" w:hAnsi="宋体" w:eastAsia="宋体" w:cs="宋体"/>
          <w:bCs/>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5.工程承包范围：</w:t>
      </w:r>
      <w:bookmarkStart w:id="10" w:name="_Toc351203482"/>
      <w:r>
        <w:rPr>
          <w:rFonts w:hint="eastAsia" w:ascii="宋体" w:hAnsi="宋体" w:eastAsia="宋体" w:cs="宋体"/>
          <w:bCs/>
          <w:color w:val="000000" w:themeColor="text1"/>
          <w:kern w:val="2"/>
          <w:sz w:val="24"/>
          <w:szCs w:val="24"/>
          <w:highlight w:val="none"/>
          <w:u w:val="single"/>
          <w:lang w:eastAsia="zh-CN" w:bidi="ar-SA"/>
          <w14:textFill>
            <w14:solidFill>
              <w14:schemeClr w14:val="tx1"/>
            </w14:solidFill>
          </w14:textFill>
        </w:rPr>
        <w:t>陕西学前师范学院消防改造主要内容：图书馆、食堂、能源楼、行政楼、1~5号教学楼、幼儿园设计图纸及甲方提供的消防整改设计方案 全部内容。</w:t>
      </w:r>
    </w:p>
    <w:p w14:paraId="0C947D46">
      <w:pPr>
        <w:pageBreakBefore w:val="0"/>
        <w:widowControl w:val="0"/>
        <w:kinsoku/>
        <w:wordWrap/>
        <w:overflowPunct/>
        <w:topLinePunct w:val="0"/>
        <w:bidi w:val="0"/>
        <w:adjustRightInd w:val="0"/>
        <w:snapToGrid w:val="0"/>
        <w:spacing w:before="120" w:line="360" w:lineRule="auto"/>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
          <w:color w:val="000000" w:themeColor="text1"/>
          <w:kern w:val="2"/>
          <w:sz w:val="24"/>
          <w:szCs w:val="24"/>
          <w:highlight w:val="none"/>
          <w:lang w:bidi="ar-SA"/>
          <w14:textFill>
            <w14:solidFill>
              <w14:schemeClr w14:val="tx1"/>
            </w14:solidFill>
          </w14:textFill>
        </w:rPr>
        <w:t>二、合同工期</w:t>
      </w:r>
      <w:bookmarkEnd w:id="10"/>
    </w:p>
    <w:p w14:paraId="17E944A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开工日期：</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w:t>
      </w:r>
      <w:r>
        <w:rPr>
          <w:rFonts w:hint="eastAsia" w:ascii="宋体" w:hAnsi="宋体" w:eastAsia="宋体" w:cs="宋体"/>
          <w:color w:val="000000" w:themeColor="text1"/>
          <w:kern w:val="2"/>
          <w:sz w:val="24"/>
          <w:szCs w:val="24"/>
          <w:highlight w:val="none"/>
          <w:lang w:bidi="ar-SA"/>
          <w14:textFill>
            <w14:solidFill>
              <w14:schemeClr w14:val="tx1"/>
            </w14:solidFill>
          </w14:textFill>
        </w:rPr>
        <w:t>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月</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日。</w:t>
      </w:r>
    </w:p>
    <w:p w14:paraId="399F72B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竣工日期：</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w:t>
      </w:r>
      <w:r>
        <w:rPr>
          <w:rFonts w:hint="eastAsia" w:ascii="宋体" w:hAnsi="宋体" w:eastAsia="宋体" w:cs="宋体"/>
          <w:color w:val="000000" w:themeColor="text1"/>
          <w:kern w:val="2"/>
          <w:sz w:val="24"/>
          <w:szCs w:val="24"/>
          <w:highlight w:val="none"/>
          <w:lang w:bidi="ar-SA"/>
          <w14:textFill>
            <w14:solidFill>
              <w14:schemeClr w14:val="tx1"/>
            </w14:solidFill>
          </w14:textFill>
        </w:rPr>
        <w:t>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w:t>
      </w:r>
      <w:r>
        <w:rPr>
          <w:rFonts w:hint="eastAsia" w:ascii="宋体" w:hAnsi="宋体" w:eastAsia="宋体" w:cs="宋体"/>
          <w:color w:val="000000" w:themeColor="text1"/>
          <w:kern w:val="2"/>
          <w:sz w:val="24"/>
          <w:szCs w:val="24"/>
          <w:highlight w:val="none"/>
          <w:lang w:bidi="ar-SA"/>
          <w14:textFill>
            <w14:solidFill>
              <w14:schemeClr w14:val="tx1"/>
            </w14:solidFill>
          </w14:textFill>
        </w:rPr>
        <w:t>月</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日。</w:t>
      </w:r>
    </w:p>
    <w:p w14:paraId="48945A2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工期总日历天数：</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180</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天</w:t>
      </w:r>
      <w:r>
        <w:rPr>
          <w:rFonts w:hint="eastAsia" w:ascii="宋体" w:hAnsi="宋体" w:eastAsia="宋体" w:cs="宋体"/>
          <w:color w:val="000000" w:themeColor="text1"/>
          <w:kern w:val="2"/>
          <w:sz w:val="24"/>
          <w:szCs w:val="24"/>
          <w:highlight w:val="none"/>
          <w:lang w:bidi="ar-SA"/>
          <w14:textFill>
            <w14:solidFill>
              <w14:schemeClr w14:val="tx1"/>
            </w14:solidFill>
          </w14:textFill>
        </w:rPr>
        <w:t>。工期总日历天数与根据前述计划开竣工日期计算的工期天数不一致的，以工期总日历天数为准。</w:t>
      </w:r>
    </w:p>
    <w:p w14:paraId="6FBD49DE">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11" w:name="_Toc32457"/>
      <w:bookmarkStart w:id="12" w:name="_Toc10646"/>
      <w:bookmarkStart w:id="13" w:name="_Toc351203483"/>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三、质量标准</w:t>
      </w:r>
      <w:bookmarkEnd w:id="11"/>
      <w:bookmarkEnd w:id="12"/>
      <w:bookmarkEnd w:id="13"/>
    </w:p>
    <w:p w14:paraId="67C47485">
      <w:pPr>
        <w:pageBreakBefore w:val="0"/>
        <w:widowControl w:val="0"/>
        <w:kinsoku/>
        <w:wordWrap/>
        <w:overflowPunct/>
        <w:topLinePunct w:val="0"/>
        <w:bidi w:val="0"/>
        <w:spacing w:before="120" w:line="360" w:lineRule="auto"/>
        <w:ind w:firstLine="482" w:firstLineChars="200"/>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14" w:name="_Toc8465"/>
      <w:bookmarkStart w:id="15" w:name="_Toc25007"/>
      <w:bookmarkStart w:id="16" w:name="_Toc351203484"/>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满足国家及行业验收“合格标准”，且满足采购人要求。</w:t>
      </w:r>
    </w:p>
    <w:p w14:paraId="7D9C0A30">
      <w:pPr>
        <w:pageBreakBefore w:val="0"/>
        <w:widowControl w:val="0"/>
        <w:kinsoku/>
        <w:wordWrap/>
        <w:overflowPunct/>
        <w:topLinePunct w:val="0"/>
        <w:bidi w:val="0"/>
        <w:spacing w:before="120" w:line="360" w:lineRule="auto"/>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四、签约合同价与合同价格形式</w:t>
      </w:r>
      <w:bookmarkEnd w:id="14"/>
      <w:bookmarkEnd w:id="15"/>
      <w:bookmarkEnd w:id="16"/>
      <w:r>
        <w:rPr>
          <w:rFonts w:hint="eastAsia" w:ascii="宋体" w:hAnsi="宋体" w:eastAsia="宋体" w:cs="宋体"/>
          <w:color w:val="000000" w:themeColor="text1"/>
          <w:kern w:val="2"/>
          <w:sz w:val="24"/>
          <w:szCs w:val="24"/>
          <w:highlight w:val="none"/>
          <w:lang w:bidi="ar-SA"/>
          <w14:textFill>
            <w14:solidFill>
              <w14:schemeClr w14:val="tx1"/>
            </w14:solidFill>
          </w14:textFill>
        </w:rPr>
        <w:tab/>
      </w:r>
    </w:p>
    <w:p w14:paraId="3B7596F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1.签约合同价为：</w:t>
      </w:r>
    </w:p>
    <w:p w14:paraId="5793E14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人民币（大写）</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CC952B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其中：</w:t>
      </w:r>
    </w:p>
    <w:p w14:paraId="66A2DD0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（1）安全文明施工费：</w:t>
      </w:r>
    </w:p>
    <w:p w14:paraId="5EDA37D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人民币（大写）</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元)；</w:t>
      </w:r>
    </w:p>
    <w:p w14:paraId="50CE13A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（2）材料和工程设备暂估价金额：</w:t>
      </w:r>
    </w:p>
    <w:p w14:paraId="1622D74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人民币（大写）</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元)；</w:t>
      </w:r>
    </w:p>
    <w:p w14:paraId="22C2AE3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（3）专业工程暂估价金额：</w:t>
      </w:r>
    </w:p>
    <w:p w14:paraId="4D31569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人民币（大写）</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元)；</w:t>
      </w:r>
    </w:p>
    <w:p w14:paraId="0D2CCFC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（4）暂列金额：</w:t>
      </w:r>
    </w:p>
    <w:p w14:paraId="37A8B33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人民币（大写）</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元)。</w:t>
      </w:r>
    </w:p>
    <w:p w14:paraId="018F845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2.合同价格形式： </w:t>
      </w:r>
      <w:r>
        <w:rPr>
          <w:rFonts w:hint="eastAsia" w:ascii="宋体" w:hAnsi="宋体" w:eastAsia="宋体" w:cs="宋体"/>
          <w:b/>
          <w:bCs/>
          <w:color w:val="000000" w:themeColor="text1"/>
          <w:kern w:val="2"/>
          <w:sz w:val="24"/>
          <w:szCs w:val="24"/>
          <w:highlight w:val="none"/>
          <w:u w:val="single"/>
          <w:lang w:val="en-US" w:eastAsia="zh-CN" w:bidi="ar-SA"/>
          <w14:textFill>
            <w14:solidFill>
              <w14:schemeClr w14:val="tx1"/>
            </w14:solidFill>
          </w14:textFill>
        </w:rPr>
        <w:t>固定总价合同</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4C5DDD3">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17" w:name="_Toc351203485"/>
      <w:bookmarkStart w:id="18" w:name="_Toc22473"/>
      <w:bookmarkStart w:id="19" w:name="_Toc16286"/>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五、</w:t>
      </w:r>
      <w:bookmarkEnd w:id="17"/>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项目经理</w:t>
      </w:r>
      <w:bookmarkEnd w:id="18"/>
      <w:bookmarkEnd w:id="19"/>
    </w:p>
    <w:p w14:paraId="4087F21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承包人项目经理：</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989683E">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20" w:name="_Toc351203486"/>
      <w:bookmarkStart w:id="21" w:name="_Toc8185"/>
      <w:bookmarkStart w:id="22" w:name="_Toc3510"/>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六、合同文件构成</w:t>
      </w:r>
      <w:bookmarkEnd w:id="20"/>
      <w:bookmarkEnd w:id="21"/>
      <w:bookmarkEnd w:id="22"/>
    </w:p>
    <w:p w14:paraId="4819597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本协议书与下列文件一起构成合同文件：</w:t>
      </w:r>
    </w:p>
    <w:p w14:paraId="45182CA8">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（1）中标（成交）通知书（如果有）；</w:t>
      </w:r>
    </w:p>
    <w:p w14:paraId="0C79C717">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（2）投标函及其附录（如果有）； </w:t>
      </w:r>
    </w:p>
    <w:p w14:paraId="58402209">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（3）专用合同条款及其附件；</w:t>
      </w:r>
    </w:p>
    <w:p w14:paraId="76BC58AC">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（4）通用合同条款；</w:t>
      </w:r>
    </w:p>
    <w:p w14:paraId="7CAFCB35">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（5）技术标准和要求；</w:t>
      </w:r>
    </w:p>
    <w:p w14:paraId="51BB5D56">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（6）图纸；</w:t>
      </w:r>
    </w:p>
    <w:p w14:paraId="6432AAF2">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（7）已标价工程量清单或预算书；</w:t>
      </w:r>
    </w:p>
    <w:p w14:paraId="2D81DAB9">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（8）其他合同文件。</w:t>
      </w:r>
    </w:p>
    <w:p w14:paraId="3C8A033D">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在合同订立及履行过程中形成的与合同有关的文件均构成合同文件组成部分。</w:t>
      </w:r>
    </w:p>
    <w:p w14:paraId="24548F3F">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上述各项合同文件包括合同当事人就该项合同文件所作出的补充和修改，属于同一类内容的文件，应以最新签署的为准。专用合同条款及其附件须经合同当事人签字或盖章。</w:t>
      </w:r>
    </w:p>
    <w:p w14:paraId="5E759049">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23" w:name="_Toc30428"/>
      <w:bookmarkStart w:id="24" w:name="_Toc14434"/>
      <w:bookmarkStart w:id="25" w:name="_Toc351203487"/>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七、承诺</w:t>
      </w:r>
      <w:bookmarkEnd w:id="23"/>
      <w:bookmarkEnd w:id="24"/>
      <w:bookmarkEnd w:id="25"/>
    </w:p>
    <w:p w14:paraId="6DDFE13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1.发包人承诺按照法律规定履行项目审批手续、筹集工程建设资金并按照合同约定的期限和方式支付合同价款。</w:t>
      </w:r>
    </w:p>
    <w:p w14:paraId="2DD8F01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2.承包人承诺按照法律规定及合同约定组织完成工程施工，确保工程质量和安全，不进行转包及违法分包，并在缺陷责任期及保修期内承担相应的工程维修责任。</w:t>
      </w:r>
    </w:p>
    <w:p w14:paraId="2A6C117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3.发包人和承包人通过招投标形式签订合同的，双方理解并承诺不再就同一工程另行签订与合同实质性内容相背离的协议。</w:t>
      </w:r>
    </w:p>
    <w:p w14:paraId="103C2E99">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26" w:name="_Toc351203488"/>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八、词语含义</w:t>
      </w:r>
      <w:bookmarkEnd w:id="26"/>
    </w:p>
    <w:p w14:paraId="650C3D0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本协议书中词语含义与第二部分通用合同条款中赋予的含义相同。</w:t>
      </w:r>
    </w:p>
    <w:p w14:paraId="46955747">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27" w:name="_Toc351203489"/>
      <w:bookmarkStart w:id="28" w:name="_Toc757"/>
      <w:bookmarkStart w:id="29" w:name="_Toc5900"/>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九、签订时间</w:t>
      </w:r>
      <w:bookmarkEnd w:id="27"/>
      <w:bookmarkEnd w:id="28"/>
      <w:bookmarkEnd w:id="29"/>
    </w:p>
    <w:p w14:paraId="210BC4A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本合同于</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年</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月</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日签订。</w:t>
      </w:r>
    </w:p>
    <w:p w14:paraId="366FADAF">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30" w:name="_Toc26412"/>
      <w:bookmarkStart w:id="31" w:name="_Toc28262"/>
      <w:bookmarkStart w:id="32" w:name="_Toc351203490"/>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十、签订地点</w:t>
      </w:r>
      <w:bookmarkEnd w:id="30"/>
      <w:bookmarkEnd w:id="31"/>
      <w:bookmarkEnd w:id="32"/>
    </w:p>
    <w:p w14:paraId="28CA617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本合同在</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bCs/>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签订。</w:t>
      </w:r>
    </w:p>
    <w:p w14:paraId="34ED9263">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33" w:name="_Toc17316"/>
      <w:bookmarkStart w:id="34" w:name="_Toc351203491"/>
      <w:bookmarkStart w:id="35" w:name="_Toc3397"/>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十一、补充协议</w:t>
      </w:r>
      <w:bookmarkEnd w:id="33"/>
      <w:bookmarkEnd w:id="34"/>
      <w:bookmarkEnd w:id="35"/>
    </w:p>
    <w:p w14:paraId="54E2C0C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合同未尽事宜，合同当事人另行签订补充协议，补充协议是合同的组成部分。</w:t>
      </w:r>
    </w:p>
    <w:p w14:paraId="00853EAC">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36" w:name="_Toc351203492"/>
      <w:bookmarkStart w:id="37" w:name="_Toc21522"/>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十二、合同生效</w:t>
      </w:r>
      <w:bookmarkEnd w:id="36"/>
      <w:bookmarkEnd w:id="37"/>
    </w:p>
    <w:p w14:paraId="2D77E64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本合同自</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双方签字盖章后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生效。</w:t>
      </w:r>
    </w:p>
    <w:p w14:paraId="633AA00E">
      <w:pPr>
        <w:pageBreakBefore w:val="0"/>
        <w:widowControl w:val="0"/>
        <w:kinsoku/>
        <w:wordWrap/>
        <w:overflowPunct/>
        <w:topLinePunct w:val="0"/>
        <w:bidi w:val="0"/>
        <w:spacing w:before="120" w:line="360" w:lineRule="auto"/>
        <w:jc w:val="both"/>
        <w:textAlignment w:val="auto"/>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pPr>
      <w:bookmarkStart w:id="38" w:name="_Toc24807"/>
      <w:bookmarkStart w:id="39" w:name="_Toc11706"/>
      <w:bookmarkStart w:id="40" w:name="_Toc351203493"/>
      <w:r>
        <w:rPr>
          <w:rFonts w:hint="eastAsia" w:ascii="Times New Roman" w:hAnsi="Times New Roman" w:eastAsia="宋体" w:cs="Times New Roman"/>
          <w:b/>
          <w:bCs/>
          <w:color w:val="000000" w:themeColor="text1"/>
          <w:kern w:val="2"/>
          <w:sz w:val="24"/>
          <w:szCs w:val="24"/>
          <w:highlight w:val="none"/>
          <w:lang w:bidi="ar-SA"/>
          <w14:textFill>
            <w14:solidFill>
              <w14:schemeClr w14:val="tx1"/>
            </w14:solidFill>
          </w14:textFill>
        </w:rPr>
        <w:t>十三、合同份数</w:t>
      </w:r>
      <w:bookmarkEnd w:id="38"/>
      <w:bookmarkEnd w:id="39"/>
      <w:bookmarkEnd w:id="40"/>
    </w:p>
    <w:p w14:paraId="65F76C7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bCs/>
          <w:color w:val="000000" w:themeColor="text1"/>
          <w:kern w:val="2"/>
          <w:sz w:val="24"/>
          <w:szCs w:val="24"/>
          <w:highlight w:val="none"/>
          <w:lang w:bidi="ar-SA"/>
          <w14:textFill>
            <w14:solidFill>
              <w14:schemeClr w14:val="tx1"/>
            </w14:solidFill>
          </w14:textFill>
        </w:rPr>
        <w:t>本合同一式</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陆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份，均具有同等法律效力，发包人执</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肆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份，承包人执</w:t>
      </w:r>
      <w:r>
        <w:rPr>
          <w:rFonts w:hint="eastAsia" w:ascii="宋体" w:hAnsi="宋体" w:eastAsia="宋体" w:cs="宋体"/>
          <w:bCs/>
          <w:color w:val="000000" w:themeColor="text1"/>
          <w:kern w:val="2"/>
          <w:sz w:val="24"/>
          <w:szCs w:val="24"/>
          <w:highlight w:val="none"/>
          <w:u w:val="single"/>
          <w:lang w:bidi="ar-SA"/>
          <w14:textFill>
            <w14:solidFill>
              <w14:schemeClr w14:val="tx1"/>
            </w14:solidFill>
          </w14:textFill>
        </w:rPr>
        <w:t xml:space="preserve"> 贰 </w:t>
      </w:r>
      <w:r>
        <w:rPr>
          <w:rFonts w:hint="eastAsia" w:ascii="宋体" w:hAnsi="宋体" w:eastAsia="宋体" w:cs="宋体"/>
          <w:bCs/>
          <w:color w:val="000000" w:themeColor="text1"/>
          <w:kern w:val="2"/>
          <w:sz w:val="24"/>
          <w:szCs w:val="24"/>
          <w:highlight w:val="none"/>
          <w:lang w:bidi="ar-SA"/>
          <w14:textFill>
            <w14:solidFill>
              <w14:schemeClr w14:val="tx1"/>
            </w14:solidFill>
          </w14:textFill>
        </w:rPr>
        <w:t>份。</w:t>
      </w:r>
    </w:p>
    <w:p w14:paraId="3D13A3F3">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发包人：  (公章)             </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  (公章)</w:t>
      </w:r>
    </w:p>
    <w:p w14:paraId="452ACEE8">
      <w:pPr>
        <w:pageBreakBefore w:val="0"/>
        <w:widowControl w:val="0"/>
        <w:kinsoku/>
        <w:wordWrap/>
        <w:overflowPunct/>
        <w:topLinePunct w:val="0"/>
        <w:bidi w:val="0"/>
        <w:spacing w:before="120" w:line="360" w:lineRule="auto"/>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6461293E">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法定代表人或其委托代理人： </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法定代表人或其委托代理人：</w:t>
      </w:r>
    </w:p>
    <w:p w14:paraId="1E1D2624">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（签字</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或盖章</w:t>
      </w:r>
      <w:r>
        <w:rPr>
          <w:rFonts w:hint="eastAsia" w:ascii="宋体" w:hAnsi="宋体" w:eastAsia="宋体" w:cs="宋体"/>
          <w:color w:val="000000" w:themeColor="text1"/>
          <w:kern w:val="2"/>
          <w:sz w:val="24"/>
          <w:szCs w:val="24"/>
          <w:highlight w:val="none"/>
          <w:lang w:bidi="ar-SA"/>
          <w14:textFill>
            <w14:solidFill>
              <w14:schemeClr w14:val="tx1"/>
            </w14:solidFill>
          </w14:textFill>
        </w:rPr>
        <w:t>）                （签字</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或盖章</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436E8591">
      <w:pPr>
        <w:pageBreakBefore w:val="0"/>
        <w:widowControl w:val="0"/>
        <w:tabs>
          <w:tab w:val="left" w:pos="4410"/>
        </w:tabs>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41" w:name="_Toc26849"/>
      <w:bookmarkStart w:id="42" w:name="_Toc351203494"/>
      <w:r>
        <w:rPr>
          <w:rFonts w:hint="eastAsia" w:ascii="宋体" w:hAnsi="宋体" w:eastAsia="宋体" w:cs="宋体"/>
          <w:color w:val="000000" w:themeColor="text1"/>
          <w:kern w:val="2"/>
          <w:sz w:val="24"/>
          <w:szCs w:val="24"/>
          <w:highlight w:val="none"/>
          <w:lang w:bidi="ar-SA"/>
          <w14:textFill>
            <w14:solidFill>
              <w14:schemeClr w14:val="tx1"/>
            </w14:solidFill>
          </w14:textFill>
        </w:rPr>
        <w:t>组织机构代码：</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组织机构代码：</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6C9117C5">
      <w:pPr>
        <w:pageBreakBefore w:val="0"/>
        <w:widowControl w:val="0"/>
        <w:kinsoku/>
        <w:wordWrap/>
        <w:overflowPunct/>
        <w:topLinePunct w:val="0"/>
        <w:bidi w:val="0"/>
        <w:spacing w:before="120" w:line="360" w:lineRule="auto"/>
        <w:ind w:left="4867" w:leftChars="228" w:hanging="4320" w:hangingChars="18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地  址：</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地  址：</w:t>
      </w:r>
      <w:r>
        <w:rPr>
          <w:rFonts w:hint="eastAsia" w:ascii="宋体" w:hAnsi="宋体" w:eastAsia="宋体" w:cs="宋体"/>
          <w:color w:val="000000" w:themeColor="text1"/>
          <w:kern w:val="2"/>
          <w:sz w:val="21"/>
          <w:szCs w:val="22"/>
          <w:highlight w:val="none"/>
          <w:u w:val="single"/>
          <w:lang w:bidi="ar-SA"/>
          <w14:textFill>
            <w14:solidFill>
              <w14:schemeClr w14:val="tx1"/>
            </w14:solidFill>
          </w14:textFill>
        </w:rPr>
        <w:t xml:space="preserve">                            </w:t>
      </w:r>
    </w:p>
    <w:p w14:paraId="6BC82997">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邮政编码：</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邮政编码：</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7A1ECD8D">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法定代表人：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法定代表人：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45569918">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委托代理人：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委托代理人：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2651A46C">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  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电      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715E181E">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传  真：</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传     真：</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12298651">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4127BC6F">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开户银行：</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开户银行：</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7A6D472E">
      <w:pPr>
        <w:pageBreakBefore w:val="0"/>
        <w:widowControl w:val="0"/>
        <w:kinsoku/>
        <w:wordWrap/>
        <w:overflowPunct/>
        <w:topLinePunct w:val="0"/>
        <w:bidi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账  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账   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2EEF445B">
      <w:pPr>
        <w:pageBreakBefore w:val="0"/>
        <w:widowControl w:val="0"/>
        <w:kinsoku/>
        <w:wordWrap/>
        <w:overflowPunct/>
        <w:topLinePunct w:val="0"/>
        <w:bidi w:val="0"/>
        <w:spacing w:before="120" w:line="360" w:lineRule="auto"/>
        <w:jc w:val="both"/>
        <w:textAlignment w:val="auto"/>
        <w:rPr>
          <w:rFonts w:ascii="Times New Roman" w:hAnsi="Times New Roman" w:eastAsia="宋体" w:cs="Times New Roman"/>
          <w:color w:val="000000" w:themeColor="text1"/>
          <w:kern w:val="2"/>
          <w:sz w:val="21"/>
          <w:szCs w:val="22"/>
          <w:highlight w:val="none"/>
          <w:lang w:bidi="ar-SA"/>
          <w14:textFill>
            <w14:solidFill>
              <w14:schemeClr w14:val="tx1"/>
            </w14:solidFill>
          </w14:textFill>
        </w:rPr>
      </w:pPr>
    </w:p>
    <w:p w14:paraId="7E2F174E">
      <w:pPr>
        <w:keepNext/>
        <w:keepLines/>
        <w:pageBreakBefore w:val="0"/>
        <w:widowControl w:val="0"/>
        <w:kinsoku/>
        <w:wordWrap/>
        <w:overflowPunct/>
        <w:topLinePunct w:val="0"/>
        <w:bidi w:val="0"/>
        <w:spacing w:before="140" w:beforeLines="0" w:beforeAutospacing="0" w:after="140" w:afterLines="0" w:afterAutospacing="0" w:line="360" w:lineRule="auto"/>
        <w:jc w:val="center"/>
        <w:textAlignment w:val="auto"/>
        <w:outlineLvl w:val="1"/>
        <w:rPr>
          <w:rFonts w:ascii="宋体" w:hAnsi="宋体" w:eastAsia="宋体" w:cs="Times New Roman"/>
          <w:b/>
          <w:color w:val="000000" w:themeColor="text1"/>
          <w:kern w:val="0"/>
          <w:sz w:val="30"/>
          <w:szCs w:val="20"/>
          <w:highlight w:val="none"/>
          <w:lang w:val="en-US" w:eastAsia="zh-CN" w:bidi="ar-SA"/>
          <w14:textFill>
            <w14:solidFill>
              <w14:schemeClr w14:val="tx1"/>
            </w14:solidFill>
          </w14:textFill>
        </w:rPr>
      </w:pPr>
      <w:r>
        <w:rPr>
          <w:rFonts w:hint="eastAsia" w:ascii="宋体" w:hAnsi="宋体" w:eastAsia="宋体" w:cs="Times New Roman"/>
          <w:b/>
          <w:color w:val="000000" w:themeColor="text1"/>
          <w:kern w:val="0"/>
          <w:sz w:val="30"/>
          <w:szCs w:val="20"/>
          <w:highlight w:val="none"/>
          <w:lang w:val="en-US" w:eastAsia="zh-CN" w:bidi="ar-SA"/>
          <w14:textFill>
            <w14:solidFill>
              <w14:schemeClr w14:val="tx1"/>
            </w14:solidFill>
          </w14:textFill>
        </w:rPr>
        <w:br w:type="page"/>
      </w:r>
      <w:r>
        <w:rPr>
          <w:rFonts w:hint="eastAsia" w:ascii="宋体" w:hAnsi="宋体" w:eastAsia="宋体" w:cs="Times New Roman"/>
          <w:b/>
          <w:color w:val="000000" w:themeColor="text1"/>
          <w:kern w:val="0"/>
          <w:sz w:val="30"/>
          <w:szCs w:val="20"/>
          <w:highlight w:val="none"/>
          <w:lang w:val="en-US" w:eastAsia="zh-CN" w:bidi="ar-SA"/>
          <w14:textFill>
            <w14:solidFill>
              <w14:schemeClr w14:val="tx1"/>
            </w14:solidFill>
          </w14:textFill>
        </w:rPr>
        <w:t>第二部分 通用合同条款</w:t>
      </w:r>
      <w:bookmarkEnd w:id="41"/>
      <w:bookmarkEnd w:id="42"/>
      <w:bookmarkStart w:id="43" w:name="_Toc337558727"/>
    </w:p>
    <w:p w14:paraId="77DF7A04">
      <w:pPr>
        <w:pageBreakBefore w:val="0"/>
        <w:widowControl w:val="0"/>
        <w:kinsoku/>
        <w:wordWrap/>
        <w:overflowPunct/>
        <w:topLinePunct w:val="0"/>
        <w:bidi w:val="0"/>
        <w:spacing w:before="120" w:line="360" w:lineRule="auto"/>
        <w:jc w:val="center"/>
        <w:textAlignment w:val="auto"/>
        <w:rPr>
          <w:rFonts w:ascii="宋体" w:hAnsi="宋体" w:eastAsia="宋体" w:cs="宋体"/>
          <w:b/>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
          <w:bCs/>
          <w:color w:val="000000" w:themeColor="text1"/>
          <w:kern w:val="2"/>
          <w:sz w:val="24"/>
          <w:szCs w:val="24"/>
          <w:highlight w:val="none"/>
          <w:lang w:bidi="ar-SA"/>
          <w14:textFill>
            <w14:solidFill>
              <w14:schemeClr w14:val="tx1"/>
            </w14:solidFill>
          </w14:textFill>
        </w:rPr>
        <w:t>（略）</w:t>
      </w:r>
      <w:bookmarkEnd w:id="43"/>
      <w:bookmarkStart w:id="44" w:name="_Toc351203632"/>
    </w:p>
    <w:p w14:paraId="456E959B">
      <w:pPr>
        <w:keepNext/>
        <w:keepLines/>
        <w:pageBreakBefore w:val="0"/>
        <w:widowControl w:val="0"/>
        <w:kinsoku/>
        <w:wordWrap/>
        <w:overflowPunct/>
        <w:topLinePunct w:val="0"/>
        <w:bidi w:val="0"/>
        <w:spacing w:before="140" w:beforeLines="0" w:beforeAutospacing="0" w:after="140" w:afterLines="0" w:afterAutospacing="0" w:line="360" w:lineRule="auto"/>
        <w:jc w:val="center"/>
        <w:textAlignment w:val="auto"/>
        <w:outlineLvl w:val="1"/>
        <w:rPr>
          <w:rFonts w:ascii="宋体" w:hAnsi="宋体" w:eastAsia="宋体" w:cs="Times New Roman"/>
          <w:b/>
          <w:color w:val="000000" w:themeColor="text1"/>
          <w:kern w:val="0"/>
          <w:sz w:val="30"/>
          <w:szCs w:val="20"/>
          <w:highlight w:val="none"/>
          <w:lang w:val="en-US" w:eastAsia="zh-CN" w:bidi="ar-SA"/>
          <w14:textFill>
            <w14:solidFill>
              <w14:schemeClr w14:val="tx1"/>
            </w14:solidFill>
          </w14:textFill>
        </w:rPr>
      </w:pPr>
      <w:bookmarkStart w:id="45" w:name="_Toc3820"/>
      <w:r>
        <w:rPr>
          <w:rFonts w:hint="eastAsia" w:ascii="宋体" w:hAnsi="宋体" w:eastAsia="宋体" w:cs="宋体"/>
          <w:b/>
          <w:color w:val="000000" w:themeColor="text1"/>
          <w:kern w:val="0"/>
          <w:sz w:val="24"/>
          <w:szCs w:val="24"/>
          <w:highlight w:val="none"/>
          <w:lang w:val="en-US" w:eastAsia="zh-CN" w:bidi="ar-SA"/>
          <w14:textFill>
            <w14:solidFill>
              <w14:schemeClr w14:val="tx1"/>
            </w14:solidFill>
          </w14:textFill>
        </w:rPr>
        <w:br w:type="page"/>
      </w:r>
      <w:r>
        <w:rPr>
          <w:rFonts w:hint="eastAsia" w:ascii="宋体" w:hAnsi="宋体" w:eastAsia="宋体" w:cs="Times New Roman"/>
          <w:b/>
          <w:color w:val="000000" w:themeColor="text1"/>
          <w:kern w:val="0"/>
          <w:sz w:val="30"/>
          <w:szCs w:val="20"/>
          <w:highlight w:val="none"/>
          <w:lang w:val="en-US" w:eastAsia="zh-CN" w:bidi="ar-SA"/>
          <w14:textFill>
            <w14:solidFill>
              <w14:schemeClr w14:val="tx1"/>
            </w14:solidFill>
          </w14:textFill>
        </w:rPr>
        <w:t>第三部分 专用合同条款</w:t>
      </w:r>
      <w:bookmarkEnd w:id="44"/>
      <w:bookmarkEnd w:id="45"/>
    </w:p>
    <w:p w14:paraId="63ED16C7">
      <w:pPr>
        <w:pageBreakBefore w:val="0"/>
        <w:widowControl w:val="0"/>
        <w:kinsoku/>
        <w:wordWrap/>
        <w:overflowPunct/>
        <w:topLinePunct w:val="0"/>
        <w:bidi w:val="0"/>
        <w:adjustRightInd w:val="0"/>
        <w:snapToGrid w:val="0"/>
        <w:spacing w:before="120" w:line="360" w:lineRule="auto"/>
        <w:ind w:firstLine="482" w:firstLineChars="200"/>
        <w:jc w:val="both"/>
        <w:textAlignment w:val="auto"/>
        <w:rPr>
          <w:rFonts w:ascii="宋体" w:hAnsi="宋体" w:eastAsia="宋体" w:cs="宋体"/>
          <w:b/>
          <w:bCs/>
          <w:color w:val="000000" w:themeColor="text1"/>
          <w:kern w:val="2"/>
          <w:sz w:val="24"/>
          <w:szCs w:val="24"/>
          <w:highlight w:val="none"/>
          <w:lang w:bidi="ar-SA"/>
          <w14:textFill>
            <w14:solidFill>
              <w14:schemeClr w14:val="tx1"/>
            </w14:solidFill>
          </w14:textFill>
        </w:rPr>
      </w:pPr>
      <w:bookmarkStart w:id="46" w:name="_Toc469416368"/>
      <w:r>
        <w:rPr>
          <w:rFonts w:hint="eastAsia" w:ascii="宋体" w:hAnsi="宋体" w:eastAsia="宋体" w:cs="宋体"/>
          <w:b/>
          <w:bCs/>
          <w:color w:val="000000" w:themeColor="text1"/>
          <w:kern w:val="2"/>
          <w:sz w:val="24"/>
          <w:szCs w:val="24"/>
          <w:highlight w:val="none"/>
          <w:lang w:bidi="ar-SA"/>
          <w14:textFill>
            <w14:solidFill>
              <w14:schemeClr w14:val="tx1"/>
            </w14:solidFill>
          </w14:textFill>
        </w:rPr>
        <w:t>1</w:t>
      </w:r>
      <w:bookmarkStart w:id="47" w:name="_Toc296346657"/>
      <w:bookmarkStart w:id="48" w:name="_Toc297120456"/>
      <w:bookmarkStart w:id="49" w:name="_Toc292559866"/>
      <w:bookmarkStart w:id="50" w:name="_Toc296503156"/>
      <w:bookmarkStart w:id="51" w:name="_Toc296944495"/>
      <w:bookmarkStart w:id="52" w:name="_Toc296347155"/>
      <w:bookmarkStart w:id="53" w:name="_Toc296891196"/>
      <w:bookmarkStart w:id="54" w:name="_Toc297048342"/>
      <w:bookmarkStart w:id="55" w:name="_Toc292559361"/>
      <w:bookmarkStart w:id="56" w:name="_Toc296890984"/>
      <w:r>
        <w:rPr>
          <w:rFonts w:hint="eastAsia" w:ascii="宋体" w:hAnsi="宋体" w:eastAsia="宋体" w:cs="宋体"/>
          <w:b/>
          <w:bCs/>
          <w:color w:val="000000" w:themeColor="text1"/>
          <w:kern w:val="2"/>
          <w:sz w:val="24"/>
          <w:szCs w:val="24"/>
          <w:highlight w:val="none"/>
          <w:lang w:bidi="ar-SA"/>
          <w14:textFill>
            <w14:solidFill>
              <w14:schemeClr w14:val="tx1"/>
            </w14:solidFill>
          </w14:textFill>
        </w:rPr>
        <w:t>. 一般约定</w:t>
      </w:r>
      <w:bookmarkEnd w:id="46"/>
    </w:p>
    <w:bookmarkEnd w:id="47"/>
    <w:bookmarkEnd w:id="48"/>
    <w:bookmarkEnd w:id="49"/>
    <w:bookmarkEnd w:id="50"/>
    <w:bookmarkEnd w:id="51"/>
    <w:bookmarkEnd w:id="52"/>
    <w:bookmarkEnd w:id="53"/>
    <w:bookmarkEnd w:id="54"/>
    <w:bookmarkEnd w:id="55"/>
    <w:bookmarkEnd w:id="56"/>
    <w:p w14:paraId="200C994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 词语定义</w:t>
      </w:r>
    </w:p>
    <w:p w14:paraId="2FB8AA4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1.1.1合同</w:t>
      </w:r>
    </w:p>
    <w:p w14:paraId="6FF6696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1.1.1.1其他合同文件包括：</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施工组织设计、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履行合同过程中双方工地代表人书面确认的对合同内容有实质性影响的会议纪要、设计变更等资料</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8000284">
      <w:pPr>
        <w:pageBreakBefore w:val="0"/>
        <w:widowControl w:val="0"/>
        <w:tabs>
          <w:tab w:val="left" w:pos="7020"/>
        </w:tabs>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1.1.2 合同当事人及其他相关方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ab/>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w:t>
      </w:r>
    </w:p>
    <w:p w14:paraId="5CACC5D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1.1.2.1监理人：</w:t>
      </w:r>
    </w:p>
    <w:p w14:paraId="3BA1566D">
      <w:pPr>
        <w:pageBreakBefore w:val="0"/>
        <w:widowControl/>
        <w:kinsoku/>
        <w:wordWrap/>
        <w:overflowPunct/>
        <w:topLinePunct w:val="0"/>
        <w:bidi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名    称：</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784070B">
      <w:pPr>
        <w:pageBreakBefore w:val="0"/>
        <w:widowControl/>
        <w:kinsoku/>
        <w:wordWrap/>
        <w:overflowPunct/>
        <w:topLinePunct w:val="0"/>
        <w:bidi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资质类别和等级：</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FC56770">
      <w:pPr>
        <w:pageBreakBefore w:val="0"/>
        <w:widowControl/>
        <w:kinsoku/>
        <w:wordWrap/>
        <w:overflowPunct/>
        <w:topLinePunct w:val="0"/>
        <w:bidi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联系电话：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DD98A46">
      <w:pPr>
        <w:pageBreakBefore w:val="0"/>
        <w:widowControl/>
        <w:kinsoku/>
        <w:wordWrap/>
        <w:overflowPunct/>
        <w:topLinePunct w:val="0"/>
        <w:bidi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97665A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通信地址：</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4DADD9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1.1.2.2 设计人：</w:t>
      </w:r>
    </w:p>
    <w:p w14:paraId="7B3947B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名    称：</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37719E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资质类别和等级：</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A792F5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联系电话：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FF63EB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3FE4D7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通信地址：</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0BE35F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1.1.3 工程和设备</w:t>
      </w:r>
    </w:p>
    <w:p w14:paraId="612E3AA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1.1.3.1 作为施工现场组成部分的其他场所包括：</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发包人提供的施工场地和发包人指定的施工作业区域</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785FC1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1.1.3.2 永久占地包括：</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ascii="宋体" w:hAnsi="宋体" w:eastAsia="宋体" w:cs="宋体"/>
          <w:color w:val="000000" w:themeColor="text1"/>
          <w:kern w:val="2"/>
          <w:sz w:val="24"/>
          <w:szCs w:val="24"/>
          <w:highlight w:val="none"/>
          <w:u w:val="single"/>
          <w:lang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069BFA7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1.1.3.3临时占地包括：</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双方在合同履行过程中确定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7FB7A52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1.3法律 </w:t>
      </w:r>
    </w:p>
    <w:p w14:paraId="0A48718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适用于合同的其他规范性文件：</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执行国家相关法律法规及发包方内部管理的有关规定、制度</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965732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1.4 标准和规范</w:t>
      </w:r>
    </w:p>
    <w:p w14:paraId="71FEA83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1.4.1适用于工程的标准规范包括：</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执行国家相关规范约定</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2CCE4E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1.5 合同文件的优先顺序</w:t>
      </w:r>
    </w:p>
    <w:p w14:paraId="781867B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合同文件组成及优先顺序为：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1、本合同协议书；2、中标（成交）通知书；3、本合同专用条款；4、</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招标</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文件、答疑纪要及工程量清单；5、投标</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文件</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、工程报价单或预算书及其附件；6、通用条款；7、标准、规范及有关技术文件</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D9F604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 图纸和承包人文件</w:t>
      </w:r>
      <w:r>
        <w:rPr>
          <w:rFonts w:hint="eastAsia" w:ascii="宋体" w:hAnsi="宋体" w:eastAsia="宋体" w:cs="宋体"/>
          <w:color w:val="000000" w:themeColor="text1"/>
          <w:kern w:val="2"/>
          <w:sz w:val="24"/>
          <w:szCs w:val="24"/>
          <w:highlight w:val="none"/>
          <w:lang w:bidi="ar-SA"/>
          <w14:textFill>
            <w14:solidFill>
              <w14:schemeClr w14:val="tx1"/>
            </w14:solidFill>
          </w14:textFill>
        </w:rPr>
        <w:tab/>
      </w:r>
    </w:p>
    <w:p w14:paraId="286BA17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1.6.1 图纸的提供</w:t>
      </w:r>
    </w:p>
    <w:p w14:paraId="3303BEF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发包人向承包人提供图纸的期限：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19A112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发包人向承包人提供图纸的数量：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BAE38F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发包人向承包人提供图纸的内容：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7860E1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1.6.2 承包人文件</w:t>
      </w:r>
    </w:p>
    <w:p w14:paraId="3E6B130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需要由承包人提供的文件，包括：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竣工结算资料及竣工图纸  ；</w:t>
      </w:r>
    </w:p>
    <w:p w14:paraId="059B358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承包人提供的文件的期限为：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3个工作日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523CE1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承包人提供的文件的数量为：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2套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F9E212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承包人提供的文件的形式为：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纸质版</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及电子版</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64F661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发包人审批承包人文件的期限：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99D940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1.6.3 现场图纸准备</w:t>
      </w:r>
    </w:p>
    <w:p w14:paraId="66210DE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关于现场图纸准备的约定：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86F384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1.7 联络</w:t>
      </w:r>
    </w:p>
    <w:p w14:paraId="40A0CAE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1.7.1发包人和承包人应当文件正式生效后</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3 </w:t>
      </w:r>
      <w:r>
        <w:rPr>
          <w:rFonts w:hint="eastAsia" w:ascii="宋体" w:hAnsi="宋体" w:eastAsia="宋体" w:cs="宋体"/>
          <w:color w:val="000000" w:themeColor="text1"/>
          <w:kern w:val="0"/>
          <w:sz w:val="24"/>
          <w:szCs w:val="24"/>
          <w:highlight w:val="none"/>
          <w:lang w:bidi="ar-SA"/>
          <w14:textFill>
            <w14:solidFill>
              <w14:schemeClr w14:val="tx1"/>
            </w14:solidFill>
          </w14:textFill>
        </w:rPr>
        <w:t>天内将与合同有关的通知、批准、证明、证书、指示、指令、要求、请求、同意、意见、确定和决定等书面函件送达对方当事人。</w:t>
      </w:r>
    </w:p>
    <w:p w14:paraId="3D773DF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1.7.2 发包人接收文件的地点：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陕西学前师范学院</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5CE5FD0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发包人指定的接收人为：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07A9E99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承包人接收文件的地点：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陕西学前师范学院</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6959751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承包人指定的接收人为：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558CD8C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监理人接收文件的地点：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30EDDD5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监理人指定的接收人为：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0B69BA7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1.8交通运输</w:t>
      </w:r>
    </w:p>
    <w:p w14:paraId="1B28C94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w:t>
      </w:r>
      <w:bookmarkStart w:id="57" w:name="_Toc303539101"/>
      <w:bookmarkStart w:id="58" w:name="_Toc312677987"/>
      <w:bookmarkStart w:id="59" w:name="_Toc318581156"/>
      <w:bookmarkStart w:id="60" w:name="_Toc304295522"/>
      <w:bookmarkStart w:id="61" w:name="_Toc300934944"/>
      <w:r>
        <w:rPr>
          <w:rFonts w:hint="eastAsia" w:ascii="宋体" w:hAnsi="宋体" w:eastAsia="宋体" w:cs="宋体"/>
          <w:color w:val="000000" w:themeColor="text1"/>
          <w:kern w:val="2"/>
          <w:sz w:val="24"/>
          <w:szCs w:val="24"/>
          <w:highlight w:val="none"/>
          <w:lang w:bidi="ar-SA"/>
          <w14:textFill>
            <w14:solidFill>
              <w14:schemeClr w14:val="tx1"/>
            </w14:solidFill>
          </w14:textFill>
        </w:rPr>
        <w:t>.8.1 场内交通</w:t>
      </w:r>
    </w:p>
    <w:p w14:paraId="7822FF2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关于场外交通和场内交通的边界的约定：</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双方另行约定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bookmarkEnd w:id="57"/>
      <w:bookmarkEnd w:id="58"/>
      <w:bookmarkEnd w:id="59"/>
      <w:bookmarkEnd w:id="60"/>
      <w:bookmarkEnd w:id="61"/>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bookmarkStart w:id="62" w:name="_Toc318581157"/>
    </w:p>
    <w:p w14:paraId="09C2696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1.8.2超大件和超重件的运输</w:t>
      </w:r>
    </w:p>
    <w:p w14:paraId="34E6239C">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运输超大件或超重件所需的道路和桥梁临时加固改造费用和其他有关费用由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承包人  </w:t>
      </w:r>
      <w:r>
        <w:rPr>
          <w:rFonts w:hint="eastAsia" w:ascii="宋体" w:hAnsi="宋体" w:eastAsia="宋体" w:cs="宋体"/>
          <w:color w:val="000000" w:themeColor="text1"/>
          <w:kern w:val="2"/>
          <w:sz w:val="24"/>
          <w:szCs w:val="24"/>
          <w:highlight w:val="none"/>
          <w:lang w:bidi="ar-SA"/>
          <w14:textFill>
            <w14:solidFill>
              <w14:schemeClr w14:val="tx1"/>
            </w14:solidFill>
          </w14:textFill>
        </w:rPr>
        <w:t>承担。</w:t>
      </w:r>
    </w:p>
    <w:bookmarkEnd w:id="62"/>
    <w:p w14:paraId="055C937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1.9 知识产权</w:t>
      </w:r>
    </w:p>
    <w:p w14:paraId="23C722A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1.9.1关于发包人提供给承包人的图纸、发包人为实施工程自行编制或委托编制的技术规范以及反映发包人关于合同要求或其他类似性质的文件的著作权的归属：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发包人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2B211D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关于发包人提供的上述文件的使用限制的要求：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至工程竣工验收之日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E366ED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1.9.2 关于承包人为实施工程所编制文件的著作权的归属：</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承包人</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59D6D4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关于承包人提供的上述文件的使用限制的要求：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至工程竣工验收结算后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74D106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1.9.3 承包人在施工过程中所采用的专利、专有技术、技术秘密的使用费的承担方式：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自行承担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1F0551B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1.10工程量清单错误的修正</w:t>
      </w:r>
    </w:p>
    <w:p w14:paraId="115F4BC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出现工程量清单错误时，是否调整合同价格：</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5ABED95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允许调整合同价格的工程量偏差范围：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2A2C1AD3">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63" w:name="_Toc469416369"/>
      <w:r>
        <w:rPr>
          <w:rFonts w:hint="eastAsia" w:ascii="宋体" w:hAnsi="宋体" w:eastAsia="宋体" w:cs="宋体"/>
          <w:b/>
          <w:color w:val="000000" w:themeColor="text1"/>
          <w:kern w:val="2"/>
          <w:sz w:val="24"/>
          <w:szCs w:val="24"/>
          <w:highlight w:val="none"/>
          <w:lang w:bidi="ar-SA"/>
          <w14:textFill>
            <w14:solidFill>
              <w14:schemeClr w14:val="tx1"/>
            </w14:solidFill>
          </w14:textFill>
        </w:rPr>
        <w:t>2</w:t>
      </w:r>
      <w:bookmarkStart w:id="64" w:name="_Toc296890985"/>
      <w:bookmarkStart w:id="65" w:name="_Toc296891197"/>
      <w:bookmarkStart w:id="66" w:name="_Toc292559362"/>
      <w:bookmarkStart w:id="67" w:name="_Toc296346658"/>
      <w:bookmarkStart w:id="68" w:name="_Toc296944496"/>
      <w:bookmarkStart w:id="69" w:name="_Toc296503157"/>
      <w:bookmarkStart w:id="70" w:name="_Toc292559867"/>
      <w:bookmarkStart w:id="71" w:name="_Toc297120457"/>
      <w:bookmarkStart w:id="72" w:name="_Toc296347156"/>
      <w:bookmarkStart w:id="73" w:name="_Toc297048343"/>
      <w:r>
        <w:rPr>
          <w:rFonts w:hint="eastAsia" w:ascii="宋体" w:hAnsi="宋体" w:eastAsia="宋体" w:cs="宋体"/>
          <w:b/>
          <w:color w:val="000000" w:themeColor="text1"/>
          <w:kern w:val="2"/>
          <w:sz w:val="24"/>
          <w:szCs w:val="24"/>
          <w:highlight w:val="none"/>
          <w:lang w:bidi="ar-SA"/>
          <w14:textFill>
            <w14:solidFill>
              <w14:schemeClr w14:val="tx1"/>
            </w14:solidFill>
          </w14:textFill>
        </w:rPr>
        <w:t>. 发包人</w:t>
      </w:r>
      <w:bookmarkEnd w:id="63"/>
    </w:p>
    <w:bookmarkEnd w:id="64"/>
    <w:bookmarkEnd w:id="65"/>
    <w:bookmarkEnd w:id="66"/>
    <w:bookmarkEnd w:id="67"/>
    <w:bookmarkEnd w:id="68"/>
    <w:bookmarkEnd w:id="69"/>
    <w:bookmarkEnd w:id="70"/>
    <w:bookmarkEnd w:id="71"/>
    <w:bookmarkEnd w:id="72"/>
    <w:bookmarkEnd w:id="73"/>
    <w:p w14:paraId="59291AC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 发包人代表</w:t>
      </w:r>
    </w:p>
    <w:p w14:paraId="26A67B7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发包人代表：</w:t>
      </w:r>
    </w:p>
    <w:p w14:paraId="606FE4D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姓    名：</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8F3A9D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身份证号：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FD3A45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职    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3B3247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联系电话：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655161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86996D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通信地址：</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3726A5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发包人对发包人代表的授权范围如下：</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2319CA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2.2 施工现场、施工条件和基础资料的提供。</w:t>
      </w:r>
    </w:p>
    <w:p w14:paraId="60759DE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2.2.1 提供施工现场</w:t>
      </w:r>
    </w:p>
    <w:p w14:paraId="472809D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关于发包人移交施工现场的期限要求：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69BAF6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2.2.2 提供施工条件</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F23578D">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74" w:name="_Toc469416370"/>
      <w:r>
        <w:rPr>
          <w:rFonts w:hint="eastAsia" w:ascii="宋体" w:hAnsi="宋体" w:eastAsia="宋体" w:cs="宋体"/>
          <w:b/>
          <w:color w:val="000000" w:themeColor="text1"/>
          <w:kern w:val="2"/>
          <w:sz w:val="24"/>
          <w:szCs w:val="24"/>
          <w:highlight w:val="none"/>
          <w:lang w:bidi="ar-SA"/>
          <w14:textFill>
            <w14:solidFill>
              <w14:schemeClr w14:val="tx1"/>
            </w14:solidFill>
          </w14:textFill>
        </w:rPr>
        <w:t>3</w:t>
      </w:r>
      <w:bookmarkStart w:id="75" w:name="_Toc296890986"/>
      <w:bookmarkStart w:id="76" w:name="_Toc292559363"/>
      <w:bookmarkStart w:id="77" w:name="_Toc296347157"/>
      <w:bookmarkStart w:id="78" w:name="_Toc292559868"/>
      <w:bookmarkStart w:id="79" w:name="_Toc297120458"/>
      <w:bookmarkStart w:id="80" w:name="_Toc296503158"/>
      <w:bookmarkStart w:id="81" w:name="_Toc296944497"/>
      <w:bookmarkStart w:id="82" w:name="_Toc296891198"/>
      <w:bookmarkStart w:id="83" w:name="_Toc297048344"/>
      <w:bookmarkStart w:id="84" w:name="_Toc296346659"/>
      <w:r>
        <w:rPr>
          <w:rFonts w:hint="eastAsia" w:ascii="宋体" w:hAnsi="宋体" w:eastAsia="宋体" w:cs="宋体"/>
          <w:b/>
          <w:color w:val="000000" w:themeColor="text1"/>
          <w:kern w:val="2"/>
          <w:sz w:val="24"/>
          <w:szCs w:val="24"/>
          <w:highlight w:val="none"/>
          <w:lang w:bidi="ar-SA"/>
          <w14:textFill>
            <w14:solidFill>
              <w14:schemeClr w14:val="tx1"/>
            </w14:solidFill>
          </w14:textFill>
        </w:rPr>
        <w:t>. 承包人</w:t>
      </w:r>
      <w:bookmarkEnd w:id="74"/>
    </w:p>
    <w:bookmarkEnd w:id="75"/>
    <w:bookmarkEnd w:id="76"/>
    <w:bookmarkEnd w:id="77"/>
    <w:bookmarkEnd w:id="78"/>
    <w:bookmarkEnd w:id="79"/>
    <w:bookmarkEnd w:id="80"/>
    <w:bookmarkEnd w:id="81"/>
    <w:bookmarkEnd w:id="82"/>
    <w:bookmarkEnd w:id="83"/>
    <w:bookmarkEnd w:id="84"/>
    <w:p w14:paraId="4DDD874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3.1 承包人的一般义务</w:t>
      </w:r>
    </w:p>
    <w:p w14:paraId="135EABB5">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（1）将发包人按合同约定支付的各项价款专用于合同工程，且应及时支付其雇用人员工资，并及时向分包人支付合同价款，不得因拖欠雇用人员工资和分包方工程款给发包人带来损失和造成不良影响；</w:t>
      </w:r>
    </w:p>
    <w:p w14:paraId="1A36B46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（2）</w:t>
      </w: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承包人提交的竣工资料的内容：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承包人向发包人提交完整的竣工资料及竣工图，并提供电子文档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A92391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承包人需要提交的竣工资料套数：</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2套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77D2D1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承包人提交的竣工资料的费用承担：</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自行承担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FECCE9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承包人提交的竣工资料移交时间：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竣工验收后3</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个工作日</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内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038CD1B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承包人提交的竣工资料形式要求：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纸质版</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及电子版</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7AA034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（3）承包人应履行的其他义务：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按甲方要求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126E47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3.2 项目经理</w:t>
      </w:r>
    </w:p>
    <w:p w14:paraId="3E5F26F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 xml:space="preserve">3.2.1 </w:t>
      </w:r>
      <w:r>
        <w:rPr>
          <w:rFonts w:hint="eastAsia" w:ascii="宋体" w:hAnsi="宋体" w:eastAsia="宋体" w:cs="宋体"/>
          <w:color w:val="000000" w:themeColor="text1"/>
          <w:kern w:val="2"/>
          <w:sz w:val="24"/>
          <w:szCs w:val="24"/>
          <w:highlight w:val="none"/>
          <w:lang w:bidi="ar-SA"/>
          <w14:textFill>
            <w14:solidFill>
              <w14:schemeClr w14:val="tx1"/>
            </w14:solidFill>
          </w14:textFill>
        </w:rPr>
        <w:t>项目经理：</w:t>
      </w:r>
    </w:p>
    <w:p w14:paraId="6DBF7C9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姓    名：</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2B4244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身份证号：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18C41E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建造师执业资格等级：</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D2D4AE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建造师注册证书号：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E45E17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建造师执业印章号：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323DE4F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安全生产考核合格证书号：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F00D51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联系电话：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BCA5F5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FE0E0B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通信地址：</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ABC6C2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承包人对项目经理的授权范围如下：</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代表承包人履行合同全部内容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4F1B5F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关于项目经理每月在施工现场的时间要求：</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不得少于施工天数的80%</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1A2776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承包人未提交劳动合同，以及没有为项目经理缴纳社会保险证明的违约责任：</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按相关国家法律法规、规范标准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ACF7DC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项目经理未经批准，擅自离开施工现场的违约责任：</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发现一次，罚款5000元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9BB3DE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3.2.2 承包人擅自更换项目经理的违约责任：</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罚款5000元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23B10CB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3.2.3 承包人无正当理由拒绝更换项目经理的违约责任：</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罚款2000元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2DB5AF1">
      <w:pPr>
        <w:pageBreakBefore w:val="0"/>
        <w:widowControl w:val="0"/>
        <w:kinsoku/>
        <w:wordWrap/>
        <w:overflowPunct/>
        <w:topLinePunct w:val="0"/>
        <w:bidi w:val="0"/>
        <w:adjustRightInd w:val="0"/>
        <w:snapToGrid w:val="0"/>
        <w:spacing w:before="120" w:line="360" w:lineRule="auto"/>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3.3 承包人人员</w:t>
      </w:r>
    </w:p>
    <w:p w14:paraId="55C2024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3.3.1 承包人</w:t>
      </w:r>
      <w:r>
        <w:rPr>
          <w:rFonts w:hint="eastAsia" w:ascii="宋体" w:hAnsi="宋体" w:eastAsia="宋体" w:cs="宋体"/>
          <w:b w:val="0"/>
          <w:bCs w:val="0"/>
          <w:color w:val="000000" w:themeColor="text1"/>
          <w:kern w:val="2"/>
          <w:sz w:val="24"/>
          <w:szCs w:val="24"/>
          <w:highlight w:val="none"/>
          <w:lang w:bidi="ar-SA"/>
          <w14:textFill>
            <w14:solidFill>
              <w14:schemeClr w14:val="tx1"/>
            </w14:solidFill>
          </w14:textFill>
        </w:rPr>
        <w:t>提交项目管理机构及施工现场管理人员安排报告的期限：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开工后3天内</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D39FFA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3.3.2 承包人无正当理由拒绝撤换主要施工管理人员的违约责任：每发现一次，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罚款5000元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471802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3.3.3 承包人主要施工管理人员离开施工现场的批准要求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经发包人同意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CDC35E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3.3.4承包人擅自更换主要施工管理人员的违约责任：每发现一次，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罚款5000元</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AA6313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承包人主要施工管理人员擅自离开施工现场的违约责任：每发现一次，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罚款2000元</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8EEB84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w:t>
      </w:r>
      <w:bookmarkStart w:id="85" w:name="_Toc296891199"/>
      <w:bookmarkStart w:id="86" w:name="_Toc297216151"/>
      <w:bookmarkStart w:id="87" w:name="_Toc296347158"/>
      <w:bookmarkStart w:id="88" w:name="_Toc296890987"/>
      <w:bookmarkStart w:id="89" w:name="_Toc296346660"/>
      <w:bookmarkStart w:id="90" w:name="_Toc292559869"/>
      <w:bookmarkStart w:id="91" w:name="_Toc304295523"/>
      <w:bookmarkStart w:id="92" w:name="_Toc297120459"/>
      <w:bookmarkStart w:id="93" w:name="_Toc300934945"/>
      <w:bookmarkStart w:id="94" w:name="_Toc296503159"/>
      <w:bookmarkStart w:id="95" w:name="_Toc297123492"/>
      <w:bookmarkStart w:id="96" w:name="_Toc292559364"/>
      <w:bookmarkStart w:id="97" w:name="_Toc303539102"/>
      <w:bookmarkStart w:id="98" w:name="_Toc297048345"/>
      <w:bookmarkStart w:id="99" w:name="_Toc296944498"/>
      <w:bookmarkStart w:id="100" w:name="_Toc312677988"/>
      <w:r>
        <w:rPr>
          <w:rFonts w:hint="eastAsia" w:ascii="宋体" w:hAnsi="宋体" w:eastAsia="宋体" w:cs="宋体"/>
          <w:color w:val="000000" w:themeColor="text1"/>
          <w:kern w:val="2"/>
          <w:sz w:val="24"/>
          <w:szCs w:val="24"/>
          <w:highlight w:val="none"/>
          <w:lang w:bidi="ar-SA"/>
          <w14:textFill>
            <w14:solidFill>
              <w14:schemeClr w14:val="tx1"/>
            </w14:solidFill>
          </w14:textFill>
        </w:rPr>
        <w:t>.4 分包</w:t>
      </w: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14:paraId="54DE672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w:t>
      </w:r>
      <w:bookmarkStart w:id="101" w:name="_Toc297120460"/>
      <w:bookmarkStart w:id="102" w:name="_Toc296890988"/>
      <w:bookmarkStart w:id="103" w:name="_Toc292559365"/>
      <w:bookmarkStart w:id="104" w:name="_Toc303539103"/>
      <w:bookmarkStart w:id="105" w:name="_Toc296346661"/>
      <w:bookmarkStart w:id="106" w:name="_Toc304295524"/>
      <w:bookmarkStart w:id="107" w:name="_Toc300934946"/>
      <w:bookmarkStart w:id="108" w:name="_Toc297048346"/>
      <w:bookmarkStart w:id="109" w:name="_Toc296891200"/>
      <w:bookmarkStart w:id="110" w:name="_Toc297216152"/>
      <w:bookmarkStart w:id="111" w:name="_Toc296944499"/>
      <w:bookmarkStart w:id="112" w:name="_Toc296347159"/>
      <w:bookmarkStart w:id="113" w:name="_Toc297123493"/>
      <w:bookmarkStart w:id="114" w:name="_Toc292559870"/>
      <w:bookmarkStart w:id="115" w:name="_Toc296503160"/>
      <w:bookmarkStart w:id="116" w:name="_Toc318581158"/>
      <w:bookmarkStart w:id="117" w:name="_Toc312677989"/>
      <w:r>
        <w:rPr>
          <w:rFonts w:hint="eastAsia" w:ascii="宋体" w:hAnsi="宋体" w:eastAsia="宋体" w:cs="宋体"/>
          <w:color w:val="000000" w:themeColor="text1"/>
          <w:kern w:val="2"/>
          <w:sz w:val="24"/>
          <w:szCs w:val="24"/>
          <w:highlight w:val="none"/>
          <w:lang w:bidi="ar-SA"/>
          <w14:textFill>
            <w14:solidFill>
              <w14:schemeClr w14:val="tx1"/>
            </w14:solidFill>
          </w14:textFill>
        </w:rPr>
        <w:t>.4.1 分包的一般约定</w:t>
      </w:r>
    </w:p>
    <w:p w14:paraId="3A2146E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禁止分包的工程包括：</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所有工程项目禁止分包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93987E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主体结构、关键性工作的范围：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项目清单及施工图全部内容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Start w:id="118" w:name="_Toc297048347"/>
      <w:bookmarkStart w:id="119" w:name="_Toc296891201"/>
      <w:bookmarkStart w:id="120" w:name="_Toc296944500"/>
      <w:bookmarkStart w:id="121" w:name="_Toc297120461"/>
      <w:bookmarkStart w:id="122" w:name="_Toc296503161"/>
      <w:bookmarkStart w:id="123" w:name="_Toc297216153"/>
      <w:bookmarkStart w:id="124" w:name="_Toc297123494"/>
      <w:bookmarkStart w:id="125" w:name="_Toc296346662"/>
      <w:bookmarkStart w:id="126" w:name="_Toc296347160"/>
      <w:bookmarkStart w:id="127" w:name="_Toc304295525"/>
      <w:bookmarkStart w:id="128" w:name="_Toc296890989"/>
      <w:bookmarkStart w:id="129" w:name="_Toc300934947"/>
      <w:bookmarkStart w:id="130" w:name="_Toc303539104"/>
    </w:p>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08D3B9A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w:t>
      </w:r>
      <w:bookmarkStart w:id="131" w:name="_Toc318581159"/>
      <w:bookmarkStart w:id="132" w:name="_Toc312677990"/>
      <w:r>
        <w:rPr>
          <w:rFonts w:hint="eastAsia" w:ascii="宋体" w:hAnsi="宋体" w:eastAsia="宋体" w:cs="宋体"/>
          <w:color w:val="000000" w:themeColor="text1"/>
          <w:kern w:val="2"/>
          <w:sz w:val="24"/>
          <w:szCs w:val="24"/>
          <w:highlight w:val="none"/>
          <w:lang w:bidi="ar-SA"/>
          <w14:textFill>
            <w14:solidFill>
              <w14:schemeClr w14:val="tx1"/>
            </w14:solidFill>
          </w14:textFill>
        </w:rPr>
        <w:t>.4.2分包的确定</w:t>
      </w:r>
    </w:p>
    <w:p w14:paraId="47A86B9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允许分包的专业工程包括：</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所有工程项目禁止分包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F6EB3C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其他关于分包的约定：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094B19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3.4.3 分包合同价款</w:t>
      </w:r>
    </w:p>
    <w:p w14:paraId="4B8E79F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关于分包合同价款支付的约定：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bookmarkEnd w:id="131"/>
    <w:bookmarkEnd w:id="132"/>
    <w:p w14:paraId="2902A9E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3.5 工程照管与成品、半成品保护</w:t>
      </w:r>
    </w:p>
    <w:p w14:paraId="70BE853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承包人负责照管工程及工程相关的材料、工程设备的起始时间：</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7EE45F8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3.6 履约担保</w:t>
      </w:r>
    </w:p>
    <w:p w14:paraId="2DFB05C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承包人是否提供履约担保：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是</w:t>
      </w:r>
    </w:p>
    <w:p w14:paraId="538555A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hint="eastAsia" w:ascii="宋体" w:hAnsi="宋体" w:eastAsia="宋体" w:cs="宋体"/>
          <w:color w:val="000000" w:themeColor="text1"/>
          <w:kern w:val="2"/>
          <w:sz w:val="24"/>
          <w:szCs w:val="24"/>
          <w:highlight w:val="none"/>
          <w:u w:val="single"/>
          <w:lang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履约担保的金额：项目履约保证金为合同金额的3%</w:t>
      </w:r>
      <w:r>
        <w:rPr>
          <w:rFonts w:hint="eastAsia" w:ascii="宋体" w:hAnsi="宋体" w:eastAsia="宋体" w:cs="宋体"/>
          <w:color w:val="000000" w:themeColor="text1"/>
          <w:kern w:val="2"/>
          <w:sz w:val="24"/>
          <w:szCs w:val="24"/>
          <w:highlight w:val="none"/>
          <w:u w:val="single"/>
          <w:lang w:eastAsia="zh-CN" w:bidi="ar-SA"/>
          <w14:textFill>
            <w14:solidFill>
              <w14:schemeClr w14:val="tx1"/>
            </w14:solidFill>
          </w14:textFill>
        </w:rPr>
        <w:t>。</w:t>
      </w:r>
    </w:p>
    <w:p w14:paraId="355EE0D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履约保证金的退还：项目验收合格后且质保期满，无任何质量问题、不存在争议，完成楼宇的消防整改工作，并协助学校取得</w:t>
      </w:r>
      <w:r>
        <w:rPr>
          <w:rFonts w:hint="eastAsia" w:ascii="宋体" w:hAnsi="宋体" w:cs="宋体"/>
          <w:color w:val="000000" w:themeColor="text1"/>
          <w:kern w:val="2"/>
          <w:sz w:val="24"/>
          <w:szCs w:val="24"/>
          <w:highlight w:val="none"/>
          <w:u w:val="single"/>
          <w:lang w:eastAsia="zh-CN" w:bidi="ar-SA"/>
          <w14:textFill>
            <w14:solidFill>
              <w14:schemeClr w14:val="tx1"/>
            </w14:solidFill>
          </w14:textFill>
        </w:rPr>
        <w:t>住建部门</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建设工程消防评估论证意见函，一次性无息退还至中标供应商账户。</w:t>
      </w:r>
    </w:p>
    <w:p w14:paraId="3E6AAB6E">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133" w:name="_Toc469416371"/>
      <w:r>
        <w:rPr>
          <w:rFonts w:hint="eastAsia" w:ascii="宋体" w:hAnsi="宋体" w:eastAsia="宋体" w:cs="宋体"/>
          <w:b/>
          <w:color w:val="000000" w:themeColor="text1"/>
          <w:kern w:val="2"/>
          <w:sz w:val="24"/>
          <w:szCs w:val="24"/>
          <w:highlight w:val="none"/>
          <w:lang w:bidi="ar-SA"/>
          <w14:textFill>
            <w14:solidFill>
              <w14:schemeClr w14:val="tx1"/>
            </w14:solidFill>
          </w14:textFill>
        </w:rPr>
        <w:t>4</w:t>
      </w:r>
      <w:bookmarkStart w:id="134" w:name="_Toc297120462"/>
      <w:bookmarkStart w:id="135" w:name="_Toc296346663"/>
      <w:bookmarkStart w:id="136" w:name="_Toc296503162"/>
      <w:bookmarkStart w:id="137" w:name="_Toc296347161"/>
      <w:bookmarkStart w:id="138" w:name="_Toc296944501"/>
      <w:bookmarkStart w:id="139" w:name="_Toc296891202"/>
      <w:bookmarkStart w:id="140" w:name="_Toc297048348"/>
      <w:bookmarkStart w:id="141" w:name="_Toc292559366"/>
      <w:bookmarkStart w:id="142" w:name="_Toc296890990"/>
      <w:bookmarkStart w:id="143" w:name="_Toc292559871"/>
      <w:bookmarkStart w:id="144" w:name="_Toc267251413"/>
      <w:r>
        <w:rPr>
          <w:rFonts w:hint="eastAsia" w:ascii="宋体" w:hAnsi="宋体" w:eastAsia="宋体" w:cs="宋体"/>
          <w:b/>
          <w:color w:val="000000" w:themeColor="text1"/>
          <w:kern w:val="2"/>
          <w:sz w:val="24"/>
          <w:szCs w:val="24"/>
          <w:highlight w:val="none"/>
          <w:lang w:bidi="ar-SA"/>
          <w14:textFill>
            <w14:solidFill>
              <w14:schemeClr w14:val="tx1"/>
            </w14:solidFill>
          </w14:textFill>
        </w:rPr>
        <w:t>. 监</w:t>
      </w:r>
      <w:bookmarkEnd w:id="134"/>
      <w:bookmarkEnd w:id="135"/>
      <w:bookmarkEnd w:id="136"/>
      <w:bookmarkEnd w:id="137"/>
      <w:bookmarkEnd w:id="138"/>
      <w:bookmarkEnd w:id="139"/>
      <w:bookmarkEnd w:id="140"/>
      <w:bookmarkEnd w:id="141"/>
      <w:bookmarkEnd w:id="142"/>
      <w:bookmarkEnd w:id="143"/>
      <w:bookmarkEnd w:id="144"/>
      <w:r>
        <w:rPr>
          <w:rFonts w:hint="eastAsia" w:ascii="宋体" w:hAnsi="宋体" w:eastAsia="宋体" w:cs="宋体"/>
          <w:b/>
          <w:color w:val="000000" w:themeColor="text1"/>
          <w:kern w:val="2"/>
          <w:sz w:val="24"/>
          <w:szCs w:val="24"/>
          <w:highlight w:val="none"/>
          <w:lang w:bidi="ar-SA"/>
          <w14:textFill>
            <w14:solidFill>
              <w14:schemeClr w14:val="tx1"/>
            </w14:solidFill>
          </w14:textFill>
        </w:rPr>
        <w:t>理人</w:t>
      </w:r>
      <w:bookmarkEnd w:id="133"/>
    </w:p>
    <w:p w14:paraId="3F141067">
      <w:pPr>
        <w:pageBreakBefore w:val="0"/>
        <w:widowControl w:val="0"/>
        <w:tabs>
          <w:tab w:val="right" w:pos="8820"/>
        </w:tabs>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4.1监理人的一般规定</w:t>
      </w:r>
      <w:r>
        <w:rPr>
          <w:rFonts w:hint="eastAsia" w:ascii="宋体" w:hAnsi="宋体" w:eastAsia="宋体" w:cs="宋体"/>
          <w:color w:val="000000" w:themeColor="text1"/>
          <w:kern w:val="2"/>
          <w:sz w:val="24"/>
          <w:szCs w:val="24"/>
          <w:highlight w:val="none"/>
          <w:lang w:bidi="ar-SA"/>
          <w14:textFill>
            <w14:solidFill>
              <w14:schemeClr w14:val="tx1"/>
            </w14:solidFill>
          </w14:textFill>
        </w:rPr>
        <w:tab/>
      </w:r>
    </w:p>
    <w:p w14:paraId="327A641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关于监理人的监理内容：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518C5F0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关于监理人的监理权限：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145C184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关于监理人在施工现场的办公场所、生活场所的提供和费用承担的约定：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由承包人承担。</w:t>
      </w:r>
    </w:p>
    <w:p w14:paraId="157E758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4.2 监理人员</w:t>
      </w:r>
    </w:p>
    <w:p w14:paraId="3711C4E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总监理工程师：</w:t>
      </w:r>
    </w:p>
    <w:p w14:paraId="0A62F83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姓    名：</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07C01F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职    务：</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C08C71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监理工程师执业资格证书号：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FCBD2C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联系电话：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00DAEC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电子信箱：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14D852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通信地址：</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587FA9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关于监理人的其他约定：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4BD2C82">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145" w:name="_Toc267251418"/>
      <w:bookmarkStart w:id="146" w:name="_Toc469416372"/>
      <w:r>
        <w:rPr>
          <w:rFonts w:hint="eastAsia" w:ascii="宋体" w:hAnsi="宋体" w:eastAsia="宋体" w:cs="宋体"/>
          <w:b/>
          <w:color w:val="000000" w:themeColor="text1"/>
          <w:kern w:val="2"/>
          <w:sz w:val="24"/>
          <w:szCs w:val="24"/>
          <w:highlight w:val="none"/>
          <w:lang w:bidi="ar-SA"/>
          <w14:textFill>
            <w14:solidFill>
              <w14:schemeClr w14:val="tx1"/>
            </w14:solidFill>
          </w14:textFill>
        </w:rPr>
        <w:t>5</w:t>
      </w:r>
      <w:bookmarkEnd w:id="145"/>
      <w:bookmarkStart w:id="147" w:name="_Toc296503163"/>
      <w:bookmarkStart w:id="148" w:name="_Toc297048349"/>
      <w:bookmarkStart w:id="149" w:name="_Toc296944502"/>
      <w:bookmarkStart w:id="150" w:name="_Toc296890991"/>
      <w:bookmarkStart w:id="151" w:name="_Toc296346664"/>
      <w:bookmarkStart w:id="152" w:name="_Toc292559872"/>
      <w:bookmarkStart w:id="153" w:name="_Toc292559367"/>
      <w:bookmarkStart w:id="154" w:name="_Toc296891203"/>
      <w:bookmarkStart w:id="155" w:name="_Toc296347162"/>
      <w:bookmarkStart w:id="156" w:name="_Toc297120463"/>
      <w:r>
        <w:rPr>
          <w:rFonts w:hint="eastAsia" w:ascii="宋体" w:hAnsi="宋体" w:eastAsia="宋体" w:cs="宋体"/>
          <w:b/>
          <w:color w:val="000000" w:themeColor="text1"/>
          <w:kern w:val="2"/>
          <w:sz w:val="24"/>
          <w:szCs w:val="24"/>
          <w:highlight w:val="none"/>
          <w:lang w:bidi="ar-SA"/>
          <w14:textFill>
            <w14:solidFill>
              <w14:schemeClr w14:val="tx1"/>
            </w14:solidFill>
          </w14:textFill>
        </w:rPr>
        <w:t>. 工程质量</w:t>
      </w:r>
      <w:bookmarkEnd w:id="146"/>
    </w:p>
    <w:p w14:paraId="14063EB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5.1 质量要求</w:t>
      </w:r>
    </w:p>
    <w:p w14:paraId="23338F9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5</w:t>
      </w:r>
      <w:bookmarkStart w:id="157" w:name="_Toc297216155"/>
      <w:bookmarkStart w:id="158" w:name="_Toc303539106"/>
      <w:bookmarkStart w:id="159" w:name="_Toc300934949"/>
      <w:bookmarkStart w:id="160" w:name="_Toc312677997"/>
      <w:bookmarkStart w:id="161" w:name="_Toc304295527"/>
      <w:bookmarkStart w:id="162" w:name="_Toc297123496"/>
      <w:bookmarkStart w:id="163" w:name="_Toc318581164"/>
      <w:r>
        <w:rPr>
          <w:rFonts w:hint="eastAsia" w:ascii="宋体" w:hAnsi="宋体" w:eastAsia="宋体" w:cs="宋体"/>
          <w:color w:val="000000" w:themeColor="text1"/>
          <w:kern w:val="2"/>
          <w:sz w:val="24"/>
          <w:szCs w:val="24"/>
          <w:highlight w:val="none"/>
          <w:lang w:bidi="ar-SA"/>
          <w14:textFill>
            <w14:solidFill>
              <w14:schemeClr w14:val="tx1"/>
            </w14:solidFill>
          </w14:textFill>
        </w:rPr>
        <w:t>.1.1 特殊质量标准</w:t>
      </w:r>
      <w:r>
        <w:rPr>
          <w:rFonts w:hint="eastAsia" w:ascii="宋体" w:hAnsi="宋体" w:eastAsia="宋体" w:cs="宋体"/>
          <w:color w:val="000000" w:themeColor="text1"/>
          <w:kern w:val="2"/>
          <w:sz w:val="24"/>
          <w:szCs w:val="24"/>
          <w:highlight w:val="none"/>
          <w:lang w:bidi="ar-SA"/>
          <w14:textFill>
            <w14:solidFill>
              <w14:schemeClr w14:val="tx1"/>
            </w14:solidFill>
          </w14:textFill>
        </w:rPr>
        <w:t>和要求：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BE446E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关于工程奖项的约定：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4EB812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5.1.2增加内容：给发包人造成损失的，发包人有权予以处罚。</w:t>
      </w:r>
    </w:p>
    <w:p w14:paraId="41B017E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5.2 隐蔽工程检查</w:t>
      </w:r>
    </w:p>
    <w:p w14:paraId="71A7BA10">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5.2.1承包人提前通知监理人隐蔽工程检查的期限的约定：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6小时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6CF37F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监理人不能按时进行检查时，应提前</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6  </w:t>
      </w:r>
      <w:r>
        <w:rPr>
          <w:rFonts w:hint="eastAsia" w:ascii="宋体" w:hAnsi="宋体" w:eastAsia="宋体" w:cs="宋体"/>
          <w:color w:val="000000" w:themeColor="text1"/>
          <w:kern w:val="2"/>
          <w:sz w:val="24"/>
          <w:szCs w:val="24"/>
          <w:highlight w:val="none"/>
          <w:lang w:bidi="ar-SA"/>
          <w14:textFill>
            <w14:solidFill>
              <w14:schemeClr w14:val="tx1"/>
            </w14:solidFill>
          </w14:textFill>
        </w:rPr>
        <w:t>小时提交书面延期要求。</w:t>
      </w:r>
    </w:p>
    <w:p w14:paraId="421E044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关于延期最长不得超过：</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 </w:t>
      </w:r>
      <w:r>
        <w:rPr>
          <w:rFonts w:hint="eastAsia" w:ascii="宋体" w:hAnsi="宋体" w:eastAsia="宋体" w:cs="宋体"/>
          <w:color w:val="000000" w:themeColor="text1"/>
          <w:kern w:val="2"/>
          <w:sz w:val="24"/>
          <w:szCs w:val="24"/>
          <w:highlight w:val="none"/>
          <w:lang w:bidi="ar-SA"/>
          <w14:textFill>
            <w14:solidFill>
              <w14:schemeClr w14:val="tx1"/>
            </w14:solidFill>
          </w14:textFill>
        </w:rPr>
        <w:t>小时。</w:t>
      </w:r>
    </w:p>
    <w:p w14:paraId="55067550">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164" w:name="_Toc469416373"/>
      <w:r>
        <w:rPr>
          <w:rFonts w:hint="eastAsia" w:ascii="宋体" w:hAnsi="宋体" w:eastAsia="宋体" w:cs="宋体"/>
          <w:b/>
          <w:color w:val="000000" w:themeColor="text1"/>
          <w:kern w:val="2"/>
          <w:sz w:val="24"/>
          <w:szCs w:val="24"/>
          <w:highlight w:val="none"/>
          <w:lang w:bidi="ar-SA"/>
          <w14:textFill>
            <w14:solidFill>
              <w14:schemeClr w14:val="tx1"/>
            </w14:solidFill>
          </w14:textFill>
        </w:rPr>
        <w:t>6. 安全文明施工与环境保护</w:t>
      </w:r>
      <w:bookmarkEnd w:id="164"/>
    </w:p>
    <w:p w14:paraId="1C10943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6.1安全文明施工</w:t>
      </w:r>
    </w:p>
    <w:p w14:paraId="5F3DA59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6.1.1 项目安全生产的达标目标及相应事项的约定：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达标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37A0F7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6.1.2 关于治安保卫的特别约定：承包人应遵守发包人治安保安相关制度和要求，统一管理施工场地的治安保卫事项，履行合同工程的治安保卫职责。</w:t>
      </w:r>
    </w:p>
    <w:p w14:paraId="5A107D5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关于编制施工场地治安管理计划的约定：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03401A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6.1.3文明施工</w:t>
      </w:r>
    </w:p>
    <w:bookmarkEnd w:id="157"/>
    <w:bookmarkEnd w:id="158"/>
    <w:bookmarkEnd w:id="159"/>
    <w:bookmarkEnd w:id="160"/>
    <w:bookmarkEnd w:id="161"/>
    <w:bookmarkEnd w:id="162"/>
    <w:bookmarkEnd w:id="163"/>
    <w:p w14:paraId="19BB410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合同当事人对文明施工的要求：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达标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6CA080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6.1.4关于安全文明施工费支付比例和支付期限的约定：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117638E3">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165" w:name="_Toc469416374"/>
      <w:r>
        <w:rPr>
          <w:rFonts w:hint="eastAsia" w:ascii="宋体" w:hAnsi="宋体" w:eastAsia="宋体" w:cs="宋体"/>
          <w:b/>
          <w:color w:val="000000" w:themeColor="text1"/>
          <w:kern w:val="2"/>
          <w:sz w:val="24"/>
          <w:szCs w:val="24"/>
          <w:highlight w:val="none"/>
          <w:lang w:bidi="ar-SA"/>
          <w14:textFill>
            <w14:solidFill>
              <w14:schemeClr w14:val="tx1"/>
            </w14:solidFill>
          </w14:textFill>
        </w:rPr>
        <w:t>7. 工期和进度</w:t>
      </w:r>
      <w:bookmarkEnd w:id="165"/>
    </w:p>
    <w:p w14:paraId="1651DEA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7.1 施工组织设计</w:t>
      </w:r>
    </w:p>
    <w:p w14:paraId="356631D5">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7.1.1 合</w:t>
      </w:r>
      <w:r>
        <w:rPr>
          <w:rFonts w:hint="eastAsia" w:ascii="宋体" w:hAnsi="宋体" w:eastAsia="宋体" w:cs="宋体"/>
          <w:color w:val="000000" w:themeColor="text1"/>
          <w:kern w:val="0"/>
          <w:sz w:val="24"/>
          <w:szCs w:val="24"/>
          <w:highlight w:val="none"/>
          <w:lang w:bidi="ar-SA"/>
          <w14:textFill>
            <w14:solidFill>
              <w14:schemeClr w14:val="tx1"/>
            </w14:solidFill>
          </w14:textFill>
        </w:rPr>
        <w:t>同当事人约定的施工组织设计应包括的其他内容：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双方另行约定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D28F7BB">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7.1.2 </w:t>
      </w:r>
      <w:r>
        <w:rPr>
          <w:rFonts w:hint="eastAsia" w:ascii="宋体" w:hAnsi="宋体" w:eastAsia="宋体" w:cs="宋体"/>
          <w:color w:val="000000" w:themeColor="text1"/>
          <w:kern w:val="0"/>
          <w:sz w:val="24"/>
          <w:szCs w:val="24"/>
          <w:highlight w:val="none"/>
          <w:lang w:bidi="ar-SA"/>
          <w14:textFill>
            <w14:solidFill>
              <w14:schemeClr w14:val="tx1"/>
            </w14:solidFill>
          </w14:textFill>
        </w:rPr>
        <w:t>施工组织设计的提交和修改</w:t>
      </w:r>
    </w:p>
    <w:p w14:paraId="61C2E0BD">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承包人提交详细施工组织设计的期限的约定：</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3</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天</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BE5AE0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发包人和监理人在收到详细的施工组织设计后确认或提出修改意见的期限：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24小时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EFDFFD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w:t>
      </w:r>
      <w:bookmarkStart w:id="166" w:name="_Toc312678005"/>
      <w:bookmarkStart w:id="167" w:name="_Toc297216173"/>
      <w:bookmarkStart w:id="168" w:name="_Toc303539123"/>
      <w:bookmarkStart w:id="169" w:name="_Toc297123514"/>
      <w:bookmarkStart w:id="170" w:name="_Toc300934966"/>
      <w:bookmarkStart w:id="171" w:name="_Toc312677479"/>
      <w:bookmarkStart w:id="172" w:name="_Toc304295541"/>
      <w:r>
        <w:rPr>
          <w:rFonts w:hint="eastAsia" w:ascii="宋体" w:hAnsi="宋体" w:eastAsia="宋体" w:cs="宋体"/>
          <w:color w:val="000000" w:themeColor="text1"/>
          <w:kern w:val="2"/>
          <w:sz w:val="24"/>
          <w:szCs w:val="24"/>
          <w:highlight w:val="none"/>
          <w:lang w:bidi="ar-SA"/>
          <w14:textFill>
            <w14:solidFill>
              <w14:schemeClr w14:val="tx1"/>
            </w14:solidFill>
          </w14:textFill>
        </w:rPr>
        <w:t>.2 施工进度计划</w:t>
      </w:r>
    </w:p>
    <w:p w14:paraId="720E975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7.2.1 施工进度计划的修订</w:t>
      </w:r>
    </w:p>
    <w:p w14:paraId="46361F7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发包人和监理人在收到修订的施工进度计划后确认或提出修改意见的期限：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24小时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FE5122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7.3 开工</w:t>
      </w:r>
    </w:p>
    <w:p w14:paraId="57CA559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7.3.1 开工准备</w:t>
      </w:r>
    </w:p>
    <w:p w14:paraId="44054E8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关于承包人提交</w:t>
      </w:r>
      <w:r>
        <w:rPr>
          <w:rFonts w:hint="eastAsia" w:ascii="宋体" w:hAnsi="宋体" w:eastAsia="宋体" w:cs="宋体"/>
          <w:color w:val="000000" w:themeColor="text1"/>
          <w:kern w:val="0"/>
          <w:sz w:val="24"/>
          <w:szCs w:val="24"/>
          <w:highlight w:val="none"/>
          <w:lang w:bidi="ar-SA"/>
          <w14:textFill>
            <w14:solidFill>
              <w14:schemeClr w14:val="tx1"/>
            </w14:solidFill>
          </w14:textFill>
        </w:rPr>
        <w:t>工程开工报审表的期限：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24小时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AE13AE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关于发包人应完成的其他开工准备工作及期限：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24小时   。</w:t>
      </w:r>
    </w:p>
    <w:p w14:paraId="5BE6EAD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关于承包人应完成的其他开工准备工作及期限：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24小时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D1E8D4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7.3.2开工通知</w:t>
      </w:r>
    </w:p>
    <w:bookmarkEnd w:id="166"/>
    <w:bookmarkEnd w:id="167"/>
    <w:bookmarkEnd w:id="168"/>
    <w:bookmarkEnd w:id="169"/>
    <w:bookmarkEnd w:id="170"/>
    <w:bookmarkEnd w:id="171"/>
    <w:bookmarkEnd w:id="172"/>
    <w:p w14:paraId="339B25E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7.4 测量放线</w:t>
      </w:r>
    </w:p>
    <w:p w14:paraId="225C997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7.4.1发包人通过监理人向承包人提供测量基准点、基准线和水准点及其书面资料的期限：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24小时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5A9B04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w:t>
      </w:r>
      <w:bookmarkStart w:id="173" w:name="_Toc297216175"/>
      <w:bookmarkStart w:id="174" w:name="_Toc303539125"/>
      <w:bookmarkStart w:id="175" w:name="_Toc312678010"/>
      <w:bookmarkStart w:id="176" w:name="_Toc297123516"/>
      <w:bookmarkStart w:id="177" w:name="_Toc300934968"/>
      <w:bookmarkStart w:id="178" w:name="_Toc312677484"/>
      <w:bookmarkStart w:id="179" w:name="_Toc304295546"/>
      <w:r>
        <w:rPr>
          <w:rFonts w:hint="eastAsia" w:ascii="宋体" w:hAnsi="宋体" w:eastAsia="宋体" w:cs="宋体"/>
          <w:color w:val="000000" w:themeColor="text1"/>
          <w:kern w:val="2"/>
          <w:sz w:val="24"/>
          <w:szCs w:val="24"/>
          <w:highlight w:val="none"/>
          <w:lang w:bidi="ar-SA"/>
          <w14:textFill>
            <w14:solidFill>
              <w14:schemeClr w14:val="tx1"/>
            </w14:solidFill>
          </w14:textFill>
        </w:rPr>
        <w:t>.5 工期延误</w:t>
      </w:r>
    </w:p>
    <w:bookmarkEnd w:id="173"/>
    <w:bookmarkEnd w:id="174"/>
    <w:bookmarkEnd w:id="175"/>
    <w:bookmarkEnd w:id="176"/>
    <w:bookmarkEnd w:id="177"/>
    <w:bookmarkEnd w:id="178"/>
    <w:bookmarkEnd w:id="179"/>
    <w:p w14:paraId="4A87092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7.5.1 因发包人原因导致工期延误</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工期顺延</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FF1BE4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因发包人原因导致工期延误的其他情形：</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无</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89D7CC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w:t>
      </w:r>
      <w:bookmarkStart w:id="180" w:name="_Toc312677486"/>
      <w:bookmarkStart w:id="181" w:name="_Toc312678012"/>
      <w:bookmarkStart w:id="182" w:name="_Toc318581169"/>
      <w:bookmarkStart w:id="183" w:name="_Toc303539127"/>
      <w:bookmarkStart w:id="184" w:name="_Toc297123518"/>
      <w:bookmarkStart w:id="185" w:name="_Toc300934970"/>
      <w:bookmarkStart w:id="186" w:name="_Toc297216177"/>
      <w:bookmarkStart w:id="187" w:name="_Toc304295548"/>
      <w:r>
        <w:rPr>
          <w:rFonts w:hint="eastAsia" w:ascii="宋体" w:hAnsi="宋体" w:eastAsia="宋体" w:cs="宋体"/>
          <w:color w:val="000000" w:themeColor="text1"/>
          <w:kern w:val="2"/>
          <w:sz w:val="24"/>
          <w:szCs w:val="24"/>
          <w:highlight w:val="none"/>
          <w:lang w:bidi="ar-SA"/>
          <w14:textFill>
            <w14:solidFill>
              <w14:schemeClr w14:val="tx1"/>
            </w14:solidFill>
          </w14:textFill>
        </w:rPr>
        <w:t>.5.2 因承包人原因导致工期延误</w:t>
      </w:r>
    </w:p>
    <w:bookmarkEnd w:id="180"/>
    <w:bookmarkEnd w:id="181"/>
    <w:bookmarkEnd w:id="182"/>
    <w:p w14:paraId="32383FAC">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w:t>
      </w:r>
      <w:bookmarkStart w:id="188" w:name="_Toc312678013"/>
      <w:bookmarkStart w:id="189" w:name="_Toc312677487"/>
      <w:bookmarkStart w:id="190" w:name="_Toc318581170"/>
      <w:r>
        <w:rPr>
          <w:rFonts w:hint="eastAsia" w:ascii="宋体" w:hAnsi="宋体" w:eastAsia="宋体" w:cs="宋体"/>
          <w:color w:val="000000" w:themeColor="text1"/>
          <w:kern w:val="2"/>
          <w:sz w:val="24"/>
          <w:szCs w:val="24"/>
          <w:highlight w:val="none"/>
          <w:lang w:bidi="ar-SA"/>
          <w14:textFill>
            <w14:solidFill>
              <w14:schemeClr w14:val="tx1"/>
            </w14:solidFill>
          </w14:textFill>
        </w:rPr>
        <w:t>承包人原因造成工期延误，逾期竣工违约金的计算方法为：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bookmarkEnd w:id="183"/>
      <w:bookmarkEnd w:id="184"/>
      <w:bookmarkEnd w:id="185"/>
      <w:bookmarkEnd w:id="186"/>
      <w:bookmarkEnd w:id="187"/>
      <w:bookmarkEnd w:id="188"/>
      <w:bookmarkEnd w:id="189"/>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每逾期一天，扣除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5</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000元。</w:t>
      </w:r>
    </w:p>
    <w:bookmarkEnd w:id="190"/>
    <w:p w14:paraId="17EC136E">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因承包人原因造成工期延误，逾</w:t>
      </w:r>
      <w:bookmarkStart w:id="191" w:name="_Toc312678014"/>
      <w:bookmarkStart w:id="192" w:name="_Toc318581171"/>
      <w:r>
        <w:rPr>
          <w:rFonts w:hint="eastAsia" w:ascii="宋体" w:hAnsi="宋体" w:eastAsia="宋体" w:cs="宋体"/>
          <w:color w:val="000000" w:themeColor="text1"/>
          <w:kern w:val="2"/>
          <w:sz w:val="24"/>
          <w:szCs w:val="24"/>
          <w:highlight w:val="none"/>
          <w:lang w:bidi="ar-SA"/>
          <w14:textFill>
            <w14:solidFill>
              <w14:schemeClr w14:val="tx1"/>
            </w14:solidFill>
          </w14:textFill>
        </w:rPr>
        <w:t>期竣工违约金的上限：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191"/>
    <w:bookmarkEnd w:id="192"/>
    <w:p w14:paraId="014F658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w:t>
      </w:r>
      <w:bookmarkStart w:id="193" w:name="_Toc303539128"/>
      <w:bookmarkStart w:id="194" w:name="_Toc300934971"/>
      <w:bookmarkStart w:id="195" w:name="_Toc297216178"/>
      <w:bookmarkStart w:id="196" w:name="_Toc312678015"/>
      <w:bookmarkStart w:id="197" w:name="_Toc297123519"/>
      <w:bookmarkStart w:id="198" w:name="_Toc304295549"/>
      <w:r>
        <w:rPr>
          <w:rFonts w:hint="eastAsia" w:ascii="宋体" w:hAnsi="宋体" w:eastAsia="宋体" w:cs="宋体"/>
          <w:color w:val="000000" w:themeColor="text1"/>
          <w:kern w:val="2"/>
          <w:sz w:val="24"/>
          <w:szCs w:val="24"/>
          <w:highlight w:val="none"/>
          <w:lang w:bidi="ar-SA"/>
          <w14:textFill>
            <w14:solidFill>
              <w14:schemeClr w14:val="tx1"/>
            </w14:solidFill>
          </w14:textFill>
        </w:rPr>
        <w:t>.6 不</w:t>
      </w:r>
      <w:bookmarkEnd w:id="193"/>
      <w:bookmarkEnd w:id="194"/>
      <w:bookmarkEnd w:id="195"/>
      <w:bookmarkEnd w:id="196"/>
      <w:bookmarkEnd w:id="197"/>
      <w:bookmarkEnd w:id="198"/>
      <w:r>
        <w:rPr>
          <w:rFonts w:hint="eastAsia" w:ascii="宋体" w:hAnsi="宋体" w:eastAsia="宋体" w:cs="宋体"/>
          <w:color w:val="000000" w:themeColor="text1"/>
          <w:kern w:val="2"/>
          <w:sz w:val="24"/>
          <w:szCs w:val="24"/>
          <w:highlight w:val="none"/>
          <w:lang w:bidi="ar-SA"/>
          <w14:textFill>
            <w14:solidFill>
              <w14:schemeClr w14:val="tx1"/>
            </w14:solidFill>
          </w14:textFill>
        </w:rPr>
        <w:t>利物质条件</w:t>
      </w:r>
    </w:p>
    <w:p w14:paraId="450FA68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bookmarkStart w:id="199" w:name="_Toc300934972"/>
      <w:bookmarkStart w:id="200" w:name="_Toc318581172"/>
      <w:bookmarkStart w:id="201" w:name="_Toc312678016"/>
      <w:bookmarkStart w:id="202" w:name="_Toc304295550"/>
      <w:bookmarkStart w:id="203" w:name="_Toc297123520"/>
      <w:bookmarkStart w:id="204" w:name="_Toc303539129"/>
      <w:bookmarkStart w:id="205" w:name="_Toc297216179"/>
      <w:r>
        <w:rPr>
          <w:rFonts w:hint="eastAsia" w:ascii="宋体" w:hAnsi="宋体" w:eastAsia="宋体" w:cs="宋体"/>
          <w:color w:val="000000" w:themeColor="text1"/>
          <w:kern w:val="2"/>
          <w:sz w:val="24"/>
          <w:szCs w:val="24"/>
          <w:highlight w:val="none"/>
          <w:lang w:bidi="ar-SA"/>
          <w14:textFill>
            <w14:solidFill>
              <w14:schemeClr w14:val="tx1"/>
            </w14:solidFill>
          </w14:textFill>
        </w:rPr>
        <w:t>不利物质条件的其他情形和有关约定：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199"/>
    <w:bookmarkEnd w:id="200"/>
    <w:bookmarkEnd w:id="201"/>
    <w:bookmarkEnd w:id="202"/>
    <w:bookmarkEnd w:id="203"/>
    <w:bookmarkEnd w:id="204"/>
    <w:bookmarkEnd w:id="205"/>
    <w:p w14:paraId="08C018F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7.7暂停施工</w:t>
      </w:r>
    </w:p>
    <w:p w14:paraId="2F5E85E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7.7.1</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29347DB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7.7.2</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1D60FDE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7.7.3</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5346C1B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7.8 提前竣工的奖励</w:t>
      </w:r>
    </w:p>
    <w:p w14:paraId="58666C5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7.8.1提前竣工的奖励：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5840CF9">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206" w:name="_Toc469416375"/>
      <w:r>
        <w:rPr>
          <w:rFonts w:hint="eastAsia" w:ascii="宋体" w:hAnsi="宋体" w:eastAsia="宋体" w:cs="宋体"/>
          <w:b/>
          <w:color w:val="000000" w:themeColor="text1"/>
          <w:kern w:val="2"/>
          <w:sz w:val="24"/>
          <w:szCs w:val="24"/>
          <w:highlight w:val="none"/>
          <w:lang w:bidi="ar-SA"/>
          <w14:textFill>
            <w14:solidFill>
              <w14:schemeClr w14:val="tx1"/>
            </w14:solidFill>
          </w14:textFill>
        </w:rPr>
        <w:t>8. 材料与设备</w:t>
      </w:r>
      <w:bookmarkEnd w:id="206"/>
    </w:p>
    <w:bookmarkEnd w:id="147"/>
    <w:bookmarkEnd w:id="148"/>
    <w:bookmarkEnd w:id="149"/>
    <w:bookmarkEnd w:id="150"/>
    <w:bookmarkEnd w:id="151"/>
    <w:bookmarkEnd w:id="152"/>
    <w:bookmarkEnd w:id="153"/>
    <w:bookmarkEnd w:id="154"/>
    <w:bookmarkEnd w:id="155"/>
    <w:bookmarkEnd w:id="156"/>
    <w:p w14:paraId="42CE6A1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b/>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8.1</w:t>
      </w:r>
      <w:r>
        <w:rPr>
          <w:rFonts w:hint="eastAsia" w:ascii="宋体" w:hAnsi="宋体" w:eastAsia="宋体" w:cs="宋体"/>
          <w:b/>
          <w:color w:val="000000" w:themeColor="text1"/>
          <w:kern w:val="2"/>
          <w:sz w:val="24"/>
          <w:szCs w:val="24"/>
          <w:highlight w:val="none"/>
          <w:lang w:bidi="ar-SA"/>
          <w14:textFill>
            <w14:solidFill>
              <w14:schemeClr w14:val="tx1"/>
            </w14:solidFill>
          </w14:textFill>
        </w:rPr>
        <w:t>承包人采购材料与工程设备</w:t>
      </w:r>
    </w:p>
    <w:p w14:paraId="67C522BF">
      <w:pPr>
        <w:pageBreakBefore w:val="0"/>
        <w:widowControl w:val="0"/>
        <w:kinsoku/>
        <w:wordWrap/>
        <w:overflowPunct/>
        <w:topLinePunct w:val="0"/>
        <w:autoSpaceDE w:val="0"/>
        <w:autoSpaceDN w:val="0"/>
        <w:bidi w:val="0"/>
        <w:adjustRightInd w:val="0"/>
        <w:snapToGrid w:val="0"/>
        <w:spacing w:before="120" w:line="360" w:lineRule="auto"/>
        <w:ind w:firstLine="482" w:firstLineChars="200"/>
        <w:jc w:val="left"/>
        <w:textAlignment w:val="auto"/>
        <w:rPr>
          <w:rFonts w:ascii="宋体" w:hAnsi="宋体" w:eastAsia="宋体" w:cs="宋体"/>
          <w:b/>
          <w:bCs/>
          <w:color w:val="000000" w:themeColor="text1"/>
          <w:kern w:val="0"/>
          <w:sz w:val="24"/>
          <w:szCs w:val="24"/>
          <w:highlight w:val="none"/>
          <w:u w:val="single"/>
          <w:lang w:bidi="ar-SA"/>
          <w14:textFill>
            <w14:solidFill>
              <w14:schemeClr w14:val="tx1"/>
            </w14:solidFill>
          </w14:textFill>
        </w:rPr>
      </w:pPr>
      <w:r>
        <w:rPr>
          <w:rFonts w:hint="eastAsia" w:ascii="宋体" w:hAnsi="宋体" w:eastAsia="宋体" w:cs="宋体"/>
          <w:b/>
          <w:bCs/>
          <w:color w:val="000000" w:themeColor="text1"/>
          <w:kern w:val="0"/>
          <w:sz w:val="24"/>
          <w:szCs w:val="24"/>
          <w:highlight w:val="none"/>
          <w:u w:val="single"/>
          <w:lang w:bidi="ar-SA"/>
          <w14:textFill>
            <w14:solidFill>
              <w14:schemeClr w14:val="tx1"/>
            </w14:solidFill>
          </w14:textFill>
        </w:rPr>
        <w:t>承包人负责采购材料、工程设备的，应按照</w:t>
      </w:r>
      <w:r>
        <w:rPr>
          <w:rFonts w:hint="eastAsia" w:ascii="宋体" w:hAnsi="宋体" w:eastAsia="宋体" w:cs="宋体"/>
          <w:b/>
          <w:bCs/>
          <w:color w:val="000000" w:themeColor="text1"/>
          <w:kern w:val="0"/>
          <w:sz w:val="24"/>
          <w:szCs w:val="24"/>
          <w:highlight w:val="none"/>
          <w:u w:val="single"/>
          <w:lang w:eastAsia="zh-CN" w:bidi="ar-SA"/>
          <w14:textFill>
            <w14:solidFill>
              <w14:schemeClr w14:val="tx1"/>
            </w14:solidFill>
          </w14:textFill>
        </w:rPr>
        <w:t>有关标准</w:t>
      </w:r>
      <w:r>
        <w:rPr>
          <w:rFonts w:hint="eastAsia" w:ascii="宋体" w:hAnsi="宋体" w:eastAsia="宋体" w:cs="宋体"/>
          <w:b/>
          <w:bCs/>
          <w:color w:val="000000" w:themeColor="text1"/>
          <w:kern w:val="0"/>
          <w:sz w:val="24"/>
          <w:szCs w:val="24"/>
          <w:highlight w:val="none"/>
          <w:u w:val="single"/>
          <w:lang w:bidi="ar-SA"/>
          <w14:textFill>
            <w14:solidFill>
              <w14:schemeClr w14:val="tx1"/>
            </w14:solidFill>
          </w14:textFill>
        </w:rPr>
        <w:t>、</w:t>
      </w:r>
      <w:r>
        <w:rPr>
          <w:rFonts w:hint="eastAsia" w:ascii="宋体" w:hAnsi="宋体" w:eastAsia="宋体" w:cs="宋体"/>
          <w:b/>
          <w:bCs/>
          <w:color w:val="000000" w:themeColor="text1"/>
          <w:kern w:val="0"/>
          <w:sz w:val="24"/>
          <w:szCs w:val="24"/>
          <w:highlight w:val="none"/>
          <w:u w:val="single"/>
          <w:lang w:val="en-US" w:eastAsia="zh-CN" w:bidi="ar-SA"/>
          <w14:textFill>
            <w14:solidFill>
              <w14:schemeClr w14:val="tx1"/>
            </w14:solidFill>
          </w14:textFill>
        </w:rPr>
        <w:t>招标</w:t>
      </w:r>
      <w:r>
        <w:rPr>
          <w:rFonts w:hint="eastAsia" w:ascii="宋体" w:hAnsi="宋体" w:eastAsia="宋体" w:cs="宋体"/>
          <w:b/>
          <w:bCs/>
          <w:color w:val="000000" w:themeColor="text1"/>
          <w:kern w:val="0"/>
          <w:sz w:val="24"/>
          <w:szCs w:val="24"/>
          <w:highlight w:val="none"/>
          <w:u w:val="single"/>
          <w:lang w:bidi="ar-SA"/>
          <w14:textFill>
            <w14:solidFill>
              <w14:schemeClr w14:val="tx1"/>
            </w14:solidFill>
          </w14:textFill>
        </w:rPr>
        <w:t>文件的要求，提供产品合格证明及出厂证明，本次采购货物中若涉及消防产品强制性产品认证目录（国内消防产品3C认证目录（强制））内的产品，供应商需承诺其产品均具备3C认证，并且在中标后签订合同前向采购人提供相关证书</w:t>
      </w:r>
      <w:r>
        <w:rPr>
          <w:rFonts w:hint="eastAsia" w:ascii="宋体" w:hAnsi="宋体" w:eastAsia="宋体" w:cs="宋体"/>
          <w:b/>
          <w:bCs/>
          <w:color w:val="000000" w:themeColor="text1"/>
          <w:kern w:val="0"/>
          <w:sz w:val="24"/>
          <w:szCs w:val="24"/>
          <w:highlight w:val="none"/>
          <w:u w:val="single"/>
          <w:lang w:eastAsia="zh-CN" w:bidi="ar-SA"/>
          <w14:textFill>
            <w14:solidFill>
              <w14:schemeClr w14:val="tx1"/>
            </w14:solidFill>
          </w14:textFill>
        </w:rPr>
        <w:t>，</w:t>
      </w:r>
      <w:r>
        <w:rPr>
          <w:rFonts w:hint="eastAsia" w:ascii="宋体" w:hAnsi="宋体" w:eastAsia="宋体" w:cs="宋体"/>
          <w:b/>
          <w:bCs/>
          <w:color w:val="000000" w:themeColor="text1"/>
          <w:kern w:val="0"/>
          <w:sz w:val="24"/>
          <w:szCs w:val="24"/>
          <w:highlight w:val="none"/>
          <w:u w:val="single"/>
          <w:lang w:bidi="ar-SA"/>
          <w14:textFill>
            <w14:solidFill>
              <w14:schemeClr w14:val="tx1"/>
            </w14:solidFill>
          </w14:textFill>
        </w:rPr>
        <w:t>经发包人认可后采购，并对材料、工程设备质量负责。</w:t>
      </w:r>
    </w:p>
    <w:p w14:paraId="04CD617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8</w:t>
      </w:r>
      <w:bookmarkStart w:id="207" w:name="_Toc312678019"/>
      <w:bookmarkStart w:id="208" w:name="_Toc296346668"/>
      <w:bookmarkStart w:id="209" w:name="_Toc296891207"/>
      <w:bookmarkStart w:id="210" w:name="_Toc292559877"/>
      <w:bookmarkStart w:id="211" w:name="_Toc300934979"/>
      <w:bookmarkStart w:id="212" w:name="_Toc312677493"/>
      <w:bookmarkStart w:id="213" w:name="_Toc292559372"/>
      <w:bookmarkStart w:id="214" w:name="_Toc296944506"/>
      <w:bookmarkStart w:id="215" w:name="_Toc297048353"/>
      <w:bookmarkStart w:id="216" w:name="_Toc303539136"/>
      <w:bookmarkStart w:id="217" w:name="_Toc297216186"/>
      <w:bookmarkStart w:id="218" w:name="_Toc296890995"/>
      <w:bookmarkStart w:id="219" w:name="_Toc296503167"/>
      <w:bookmarkStart w:id="220" w:name="_Toc296347166"/>
      <w:bookmarkStart w:id="221" w:name="_Toc297120467"/>
      <w:bookmarkStart w:id="222" w:name="_Toc280868654"/>
      <w:bookmarkStart w:id="223" w:name="_Toc304295556"/>
      <w:bookmarkStart w:id="224" w:name="_Toc297123527"/>
      <w:bookmarkStart w:id="225" w:name="_Toc280868655"/>
      <w:bookmarkStart w:id="226" w:name="_Toc280868656"/>
      <w:bookmarkStart w:id="227" w:name="_Toc267251424"/>
      <w:r>
        <w:rPr>
          <w:rFonts w:hint="eastAsia" w:ascii="宋体" w:hAnsi="宋体" w:eastAsia="宋体" w:cs="宋体"/>
          <w:color w:val="000000" w:themeColor="text1"/>
          <w:kern w:val="2"/>
          <w:sz w:val="24"/>
          <w:szCs w:val="24"/>
          <w:highlight w:val="none"/>
          <w:lang w:bidi="ar-SA"/>
          <w14:textFill>
            <w14:solidFill>
              <w14:schemeClr w14:val="tx1"/>
            </w14:solidFill>
          </w14:textFill>
        </w:rPr>
        <w:t>.2材料与工程设备的保管与使用</w:t>
      </w:r>
    </w:p>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14:paraId="57801D6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8</w:t>
      </w:r>
      <w:bookmarkStart w:id="228" w:name="_Toc292559373"/>
      <w:bookmarkStart w:id="229" w:name="_Toc292559878"/>
      <w:bookmarkStart w:id="230" w:name="_Toc296503168"/>
      <w:bookmarkStart w:id="231" w:name="_Toc296346669"/>
      <w:bookmarkStart w:id="232" w:name="_Toc296944507"/>
      <w:bookmarkStart w:id="233" w:name="_Toc296347167"/>
      <w:bookmarkStart w:id="234" w:name="_Toc296890996"/>
      <w:bookmarkStart w:id="235" w:name="_Toc297120468"/>
      <w:bookmarkStart w:id="236" w:name="_Toc297048354"/>
      <w:bookmarkStart w:id="237" w:name="_Toc296891208"/>
      <w:bookmarkStart w:id="238" w:name="_Toc318581173"/>
      <w:bookmarkStart w:id="239" w:name="_Toc297123528"/>
      <w:bookmarkStart w:id="240" w:name="_Toc312677494"/>
      <w:bookmarkStart w:id="241" w:name="_Toc312678020"/>
      <w:bookmarkStart w:id="242" w:name="_Toc300934980"/>
      <w:bookmarkStart w:id="243" w:name="_Toc297216187"/>
      <w:bookmarkStart w:id="244" w:name="_Toc303539137"/>
      <w:bookmarkStart w:id="245" w:name="_Toc304295557"/>
      <w:r>
        <w:rPr>
          <w:rFonts w:hint="eastAsia" w:ascii="宋体" w:hAnsi="宋体" w:eastAsia="宋体" w:cs="宋体"/>
          <w:color w:val="000000" w:themeColor="text1"/>
          <w:kern w:val="2"/>
          <w:sz w:val="24"/>
          <w:szCs w:val="24"/>
          <w:highlight w:val="none"/>
          <w:lang w:bidi="ar-SA"/>
          <w14:textFill>
            <w14:solidFill>
              <w14:schemeClr w14:val="tx1"/>
            </w14:solidFill>
          </w14:textFill>
        </w:rPr>
        <w:t>.2.1发包人供应的材料设备的保管费用的承担：</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bookmarkEnd w:id="228"/>
      <w:bookmarkEnd w:id="229"/>
    </w:p>
    <w:p w14:paraId="317BEE67">
      <w:pPr>
        <w:keepNext/>
        <w:keepLines/>
        <w:pageBreakBefore w:val="0"/>
        <w:widowControl w:val="0"/>
        <w:kinsoku/>
        <w:wordWrap/>
        <w:overflowPunct/>
        <w:topLinePunct w:val="0"/>
        <w:bidi w:val="0"/>
        <w:adjustRightInd w:val="0"/>
        <w:snapToGrid w:val="0"/>
        <w:spacing w:before="120" w:line="360" w:lineRule="auto"/>
        <w:ind w:firstLine="480" w:firstLineChars="200"/>
        <w:jc w:val="left"/>
        <w:textAlignment w:val="auto"/>
        <w:outlineLvl w:val="4"/>
        <w:rPr>
          <w:rFonts w:ascii="宋体" w:hAnsi="宋体" w:eastAsia="宋体" w:cs="宋体"/>
          <w:bCs/>
          <w:color w:val="000000" w:themeColor="text1"/>
          <w:kern w:val="2"/>
          <w:sz w:val="24"/>
          <w:szCs w:val="24"/>
          <w:highlight w:val="none"/>
          <w:lang w:bidi="ar-SA"/>
          <w14:textFill>
            <w14:solidFill>
              <w14:schemeClr w14:val="tx1"/>
            </w14:solidFill>
          </w14:textFill>
        </w:rPr>
      </w:pPr>
      <w:bookmarkStart w:id="246" w:name="_Toc469416376"/>
      <w:r>
        <w:rPr>
          <w:rFonts w:hint="eastAsia" w:ascii="宋体" w:hAnsi="宋体" w:eastAsia="宋体" w:cs="宋体"/>
          <w:bCs/>
          <w:color w:val="000000" w:themeColor="text1"/>
          <w:kern w:val="2"/>
          <w:sz w:val="24"/>
          <w:szCs w:val="24"/>
          <w:highlight w:val="none"/>
          <w:lang w:bidi="ar-SA"/>
          <w14:textFill>
            <w14:solidFill>
              <w14:schemeClr w14:val="tx1"/>
            </w14:solidFill>
          </w14:textFill>
        </w:rPr>
        <w:t>8.3禁止使用不合格的材料和工程设备</w:t>
      </w:r>
      <w:bookmarkEnd w:id="246"/>
    </w:p>
    <w:p w14:paraId="13A83605">
      <w:pPr>
        <w:keepNext/>
        <w:keepLines/>
        <w:pageBreakBefore w:val="0"/>
        <w:widowControl w:val="0"/>
        <w:kinsoku/>
        <w:wordWrap/>
        <w:overflowPunct/>
        <w:topLinePunct w:val="0"/>
        <w:bidi w:val="0"/>
        <w:adjustRightInd w:val="0"/>
        <w:snapToGrid w:val="0"/>
        <w:spacing w:before="120" w:line="360" w:lineRule="auto"/>
        <w:ind w:firstLine="480" w:firstLineChars="200"/>
        <w:jc w:val="both"/>
        <w:textAlignment w:val="auto"/>
        <w:outlineLvl w:val="4"/>
        <w:rPr>
          <w:rFonts w:ascii="宋体" w:hAnsi="宋体" w:eastAsia="宋体" w:cs="宋体"/>
          <w:bCs/>
          <w:color w:val="000000" w:themeColor="text1"/>
          <w:kern w:val="2"/>
          <w:sz w:val="24"/>
          <w:szCs w:val="24"/>
          <w:highlight w:val="none"/>
          <w:lang w:bidi="ar-SA"/>
          <w14:textFill>
            <w14:solidFill>
              <w14:schemeClr w14:val="tx1"/>
            </w14:solidFill>
          </w14:textFill>
        </w:rPr>
      </w:pPr>
      <w:bookmarkStart w:id="247" w:name="_Toc469416377"/>
      <w:r>
        <w:rPr>
          <w:rFonts w:hint="eastAsia" w:ascii="宋体" w:hAnsi="宋体" w:eastAsia="宋体" w:cs="宋体"/>
          <w:bCs/>
          <w:color w:val="000000" w:themeColor="text1"/>
          <w:kern w:val="2"/>
          <w:sz w:val="24"/>
          <w:szCs w:val="24"/>
          <w:highlight w:val="none"/>
          <w:lang w:bidi="ar-SA"/>
          <w14:textFill>
            <w14:solidFill>
              <w14:schemeClr w14:val="tx1"/>
            </w14:solidFill>
          </w14:textFill>
        </w:rPr>
        <w:t>8.4 样品</w:t>
      </w:r>
      <w:bookmarkEnd w:id="247"/>
    </w:p>
    <w:p w14:paraId="4419F6F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8.4.1</w:t>
      </w:r>
      <w:r>
        <w:rPr>
          <w:rFonts w:hint="eastAsia" w:ascii="宋体" w:hAnsi="宋体" w:eastAsia="宋体" w:cs="宋体"/>
          <w:color w:val="000000" w:themeColor="text1"/>
          <w:kern w:val="0"/>
          <w:sz w:val="24"/>
          <w:szCs w:val="24"/>
          <w:highlight w:val="none"/>
          <w:lang w:bidi="ar-SA"/>
          <w14:textFill>
            <w14:solidFill>
              <w14:schemeClr w14:val="tx1"/>
            </w14:solidFill>
          </w14:textFill>
        </w:rPr>
        <w:tab/>
      </w:r>
      <w:r>
        <w:rPr>
          <w:rFonts w:hint="eastAsia" w:ascii="宋体" w:hAnsi="宋体" w:eastAsia="宋体" w:cs="宋体"/>
          <w:color w:val="000000" w:themeColor="text1"/>
          <w:kern w:val="0"/>
          <w:sz w:val="24"/>
          <w:szCs w:val="24"/>
          <w:highlight w:val="none"/>
          <w:lang w:bidi="ar-SA"/>
          <w14:textFill>
            <w14:solidFill>
              <w14:schemeClr w14:val="tx1"/>
            </w14:solidFill>
          </w14:textFill>
        </w:rPr>
        <w:t>样品的报送与封存</w:t>
      </w:r>
    </w:p>
    <w:p w14:paraId="5E19BE7D">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需要承包人报送样品的材料或工程设备，样品的种类、名称、规格、数量要求：</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按管理部门要求和发包人需求确定执行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03E6C82">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8.5材料与工程设备的替代</w:t>
      </w:r>
    </w:p>
    <w:p w14:paraId="6273107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8.6施工设备和临时设施</w:t>
      </w:r>
    </w:p>
    <w:p w14:paraId="58659BCF">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8.6.1 承包人提供的施工设备和临时设施</w:t>
      </w:r>
    </w:p>
    <w:p w14:paraId="536516B1">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关于修建临时设施费用承担的约定：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由承包人承担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6B6A9DA8">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248" w:name="_Toc469416378"/>
      <w:r>
        <w:rPr>
          <w:rFonts w:hint="eastAsia" w:ascii="宋体" w:hAnsi="宋体" w:eastAsia="宋体" w:cs="宋体"/>
          <w:b/>
          <w:color w:val="000000" w:themeColor="text1"/>
          <w:kern w:val="2"/>
          <w:sz w:val="24"/>
          <w:szCs w:val="24"/>
          <w:highlight w:val="none"/>
          <w:lang w:bidi="ar-SA"/>
          <w14:textFill>
            <w14:solidFill>
              <w14:schemeClr w14:val="tx1"/>
            </w14:solidFill>
          </w14:textFill>
        </w:rPr>
        <w:t>9</w:t>
      </w:r>
      <w:bookmarkEnd w:id="225"/>
      <w:bookmarkEnd w:id="226"/>
      <w:bookmarkEnd w:id="227"/>
      <w:bookmarkStart w:id="249" w:name="_Toc297123533"/>
      <w:bookmarkStart w:id="250" w:name="_Toc304295559"/>
      <w:bookmarkStart w:id="251" w:name="_Toc303539139"/>
      <w:bookmarkStart w:id="252" w:name="_Toc312677495"/>
      <w:bookmarkStart w:id="253" w:name="_Toc297216192"/>
      <w:bookmarkStart w:id="254" w:name="_Toc300934982"/>
      <w:bookmarkStart w:id="255" w:name="_Toc312678021"/>
      <w:bookmarkStart w:id="256" w:name="_Toc292559883"/>
      <w:bookmarkStart w:id="257" w:name="_Toc296346674"/>
      <w:bookmarkStart w:id="258" w:name="_Toc292559378"/>
      <w:bookmarkStart w:id="259" w:name="_Toc296944512"/>
      <w:bookmarkStart w:id="260" w:name="_Toc297048359"/>
      <w:bookmarkStart w:id="261" w:name="_Toc296891213"/>
      <w:bookmarkStart w:id="262" w:name="_Toc296503173"/>
      <w:bookmarkStart w:id="263" w:name="_Toc296891001"/>
      <w:bookmarkStart w:id="264" w:name="_Toc267251427"/>
      <w:bookmarkStart w:id="265" w:name="_Toc296347172"/>
      <w:bookmarkStart w:id="266" w:name="_Toc297120473"/>
      <w:bookmarkStart w:id="267" w:name="_Toc267251428"/>
      <w:r>
        <w:rPr>
          <w:rFonts w:hint="eastAsia" w:ascii="宋体" w:hAnsi="宋体" w:eastAsia="宋体" w:cs="宋体"/>
          <w:b/>
          <w:color w:val="000000" w:themeColor="text1"/>
          <w:kern w:val="2"/>
          <w:sz w:val="24"/>
          <w:szCs w:val="24"/>
          <w:highlight w:val="none"/>
          <w:lang w:bidi="ar-SA"/>
          <w14:textFill>
            <w14:solidFill>
              <w14:schemeClr w14:val="tx1"/>
            </w14:solidFill>
          </w14:textFill>
        </w:rPr>
        <w:t>. 试验与检验</w:t>
      </w:r>
      <w:bookmarkEnd w:id="248"/>
    </w:p>
    <w:bookmarkEnd w:id="249"/>
    <w:bookmarkEnd w:id="250"/>
    <w:bookmarkEnd w:id="251"/>
    <w:bookmarkEnd w:id="252"/>
    <w:bookmarkEnd w:id="253"/>
    <w:bookmarkEnd w:id="254"/>
    <w:bookmarkEnd w:id="255"/>
    <w:p w14:paraId="79FBC90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9</w:t>
      </w:r>
      <w:bookmarkStart w:id="268" w:name="_Toc297216193"/>
      <w:bookmarkStart w:id="269" w:name="_Toc297123534"/>
      <w:bookmarkStart w:id="270" w:name="_Toc304295560"/>
      <w:bookmarkStart w:id="271" w:name="_Toc312677496"/>
      <w:bookmarkStart w:id="272" w:name="_Toc303539140"/>
      <w:bookmarkStart w:id="273" w:name="_Toc300934983"/>
      <w:bookmarkStart w:id="274" w:name="_Toc312678022"/>
      <w:r>
        <w:rPr>
          <w:rFonts w:hint="eastAsia" w:ascii="宋体" w:hAnsi="宋体" w:eastAsia="宋体" w:cs="宋体"/>
          <w:color w:val="000000" w:themeColor="text1"/>
          <w:kern w:val="2"/>
          <w:sz w:val="24"/>
          <w:szCs w:val="24"/>
          <w:highlight w:val="none"/>
          <w:lang w:bidi="ar-SA"/>
          <w14:textFill>
            <w14:solidFill>
              <w14:schemeClr w14:val="tx1"/>
            </w14:solidFill>
          </w14:textFill>
        </w:rPr>
        <w:t>.1试验设备与试验人员</w:t>
      </w:r>
    </w:p>
    <w:bookmarkEnd w:id="268"/>
    <w:bookmarkEnd w:id="269"/>
    <w:bookmarkEnd w:id="270"/>
    <w:bookmarkEnd w:id="271"/>
    <w:bookmarkEnd w:id="272"/>
    <w:bookmarkEnd w:id="273"/>
    <w:bookmarkEnd w:id="274"/>
    <w:p w14:paraId="0EB5B86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9</w:t>
      </w:r>
      <w:bookmarkStart w:id="275" w:name="_Toc312678023"/>
      <w:bookmarkStart w:id="276" w:name="_Toc297123535"/>
      <w:bookmarkStart w:id="277" w:name="_Toc303539141"/>
      <w:bookmarkStart w:id="278" w:name="_Toc297216194"/>
      <w:bookmarkStart w:id="279" w:name="_Toc304295561"/>
      <w:bookmarkStart w:id="280" w:name="_Toc300934984"/>
      <w:bookmarkStart w:id="281" w:name="_Toc312677497"/>
      <w:bookmarkStart w:id="282" w:name="_Toc318581174"/>
      <w:r>
        <w:rPr>
          <w:rFonts w:hint="eastAsia" w:ascii="宋体" w:hAnsi="宋体" w:eastAsia="宋体" w:cs="宋体"/>
          <w:color w:val="000000" w:themeColor="text1"/>
          <w:kern w:val="2"/>
          <w:sz w:val="24"/>
          <w:szCs w:val="24"/>
          <w:highlight w:val="none"/>
          <w:lang w:bidi="ar-SA"/>
          <w14:textFill>
            <w14:solidFill>
              <w14:schemeClr w14:val="tx1"/>
            </w14:solidFill>
          </w14:textFill>
        </w:rPr>
        <w:t>.1.2 试验设备</w:t>
      </w:r>
    </w:p>
    <w:p w14:paraId="3599275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施工现场需要配置的试验场所：</w:t>
      </w:r>
      <w:bookmarkEnd w:id="275"/>
      <w:bookmarkEnd w:id="276"/>
      <w:bookmarkEnd w:id="277"/>
      <w:bookmarkEnd w:id="278"/>
      <w:bookmarkEnd w:id="279"/>
      <w:bookmarkEnd w:id="280"/>
      <w:bookmarkEnd w:id="281"/>
      <w:bookmarkStart w:id="283" w:name="_Toc312678024"/>
      <w:bookmarkStart w:id="284" w:name="_Toc297216195"/>
      <w:bookmarkStart w:id="285" w:name="_Toc300934985"/>
      <w:bookmarkStart w:id="286" w:name="_Toc297123536"/>
      <w:bookmarkStart w:id="287" w:name="_Toc303539142"/>
      <w:bookmarkStart w:id="288" w:name="_Toc304295562"/>
      <w:bookmarkStart w:id="289" w:name="_Toc312677498"/>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按有关规定执行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6B3DA2E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施工现场需要配备的试验设备：</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按有关规定执行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8E110D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施工现场需要具备的其他试验条件：</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按有关规定执行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282"/>
    <w:bookmarkEnd w:id="283"/>
    <w:bookmarkEnd w:id="284"/>
    <w:bookmarkEnd w:id="285"/>
    <w:bookmarkEnd w:id="286"/>
    <w:bookmarkEnd w:id="287"/>
    <w:bookmarkEnd w:id="288"/>
    <w:bookmarkEnd w:id="289"/>
    <w:p w14:paraId="0791C0F0">
      <w:pPr>
        <w:pageBreakBefore w:val="0"/>
        <w:widowControl w:val="0"/>
        <w:kinsoku/>
        <w:wordWrap/>
        <w:overflowPunct/>
        <w:topLinePunct w:val="0"/>
        <w:bidi w:val="0"/>
        <w:adjustRightInd w:val="0"/>
        <w:snapToGrid w:val="0"/>
        <w:spacing w:before="120" w:line="360" w:lineRule="auto"/>
        <w:ind w:firstLine="482" w:firstLineChars="200"/>
        <w:jc w:val="left"/>
        <w:textAlignment w:val="auto"/>
        <w:rPr>
          <w:rFonts w:ascii="宋体" w:hAnsi="宋体" w:eastAsia="宋体" w:cs="宋体"/>
          <w:b/>
          <w:color w:val="000000" w:themeColor="text1"/>
          <w:kern w:val="2"/>
          <w:sz w:val="24"/>
          <w:szCs w:val="24"/>
          <w:highlight w:val="none"/>
          <w:lang w:bidi="ar-SA"/>
          <w14:textFill>
            <w14:solidFill>
              <w14:schemeClr w14:val="tx1"/>
            </w14:solidFill>
          </w14:textFill>
        </w:rPr>
      </w:pPr>
      <w:r>
        <w:rPr>
          <w:rFonts w:hint="eastAsia" w:ascii="宋体" w:hAnsi="宋体" w:eastAsia="宋体" w:cs="宋体"/>
          <w:b/>
          <w:color w:val="000000" w:themeColor="text1"/>
          <w:kern w:val="2"/>
          <w:sz w:val="24"/>
          <w:szCs w:val="24"/>
          <w:highlight w:val="none"/>
          <w:lang w:bidi="ar-SA"/>
          <w14:textFill>
            <w14:solidFill>
              <w14:schemeClr w14:val="tx1"/>
            </w14:solidFill>
          </w14:textFill>
        </w:rPr>
        <w:t>1</w:t>
      </w:r>
      <w:bookmarkEnd w:id="256"/>
      <w:bookmarkEnd w:id="257"/>
      <w:bookmarkEnd w:id="258"/>
      <w:bookmarkEnd w:id="259"/>
      <w:bookmarkEnd w:id="260"/>
      <w:bookmarkEnd w:id="261"/>
      <w:bookmarkEnd w:id="262"/>
      <w:bookmarkEnd w:id="263"/>
      <w:bookmarkEnd w:id="264"/>
      <w:bookmarkEnd w:id="265"/>
      <w:bookmarkEnd w:id="266"/>
      <w:bookmarkEnd w:id="267"/>
      <w:bookmarkStart w:id="290" w:name="_Toc296347192"/>
      <w:bookmarkStart w:id="291" w:name="_Toc296944532"/>
      <w:bookmarkStart w:id="292" w:name="_Toc297216199"/>
      <w:bookmarkStart w:id="293" w:name="_Toc292559398"/>
      <w:bookmarkStart w:id="294" w:name="_Toc296891021"/>
      <w:bookmarkStart w:id="295" w:name="_Toc296503193"/>
      <w:bookmarkStart w:id="296" w:name="_Toc297123540"/>
      <w:bookmarkStart w:id="297" w:name="_Toc296346694"/>
      <w:bookmarkStart w:id="298" w:name="_Toc296891233"/>
      <w:bookmarkStart w:id="299" w:name="_Toc304295566"/>
      <w:bookmarkStart w:id="300" w:name="_Toc300934989"/>
      <w:bookmarkStart w:id="301" w:name="_Toc297120493"/>
      <w:bookmarkStart w:id="302" w:name="_Toc297048379"/>
      <w:bookmarkStart w:id="303" w:name="_Toc303539146"/>
      <w:bookmarkStart w:id="304" w:name="_Toc292559903"/>
      <w:bookmarkStart w:id="305" w:name="_Toc312677499"/>
      <w:bookmarkStart w:id="306" w:name="_Toc312678025"/>
      <w:bookmarkStart w:id="307" w:name="_Toc267251437"/>
      <w:bookmarkStart w:id="308" w:name="_Toc267251433"/>
      <w:bookmarkStart w:id="309" w:name="_Toc267251440"/>
      <w:bookmarkStart w:id="310" w:name="_Toc267251441"/>
      <w:bookmarkStart w:id="311" w:name="_Toc267251439"/>
      <w:bookmarkStart w:id="312" w:name="_Toc267251435"/>
      <w:bookmarkStart w:id="313" w:name="_Toc267251442"/>
      <w:r>
        <w:rPr>
          <w:rFonts w:hint="eastAsia" w:ascii="宋体" w:hAnsi="宋体" w:eastAsia="宋体" w:cs="宋体"/>
          <w:b/>
          <w:color w:val="000000" w:themeColor="text1"/>
          <w:kern w:val="2"/>
          <w:sz w:val="24"/>
          <w:szCs w:val="24"/>
          <w:highlight w:val="none"/>
          <w:lang w:bidi="ar-SA"/>
          <w14:textFill>
            <w14:solidFill>
              <w14:schemeClr w14:val="tx1"/>
            </w14:solidFill>
          </w14:textFill>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bookmarkEnd w:id="305"/>
    <w:bookmarkEnd w:id="306"/>
    <w:p w14:paraId="1F43165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314" w:name="_Toc297123541"/>
      <w:bookmarkStart w:id="315" w:name="_Toc296347193"/>
      <w:bookmarkStart w:id="316" w:name="_Toc312678026"/>
      <w:bookmarkStart w:id="317" w:name="_Toc297216200"/>
      <w:bookmarkStart w:id="318" w:name="_Toc300934990"/>
      <w:bookmarkStart w:id="319" w:name="_Toc296891022"/>
      <w:bookmarkStart w:id="320" w:name="_Toc292559904"/>
      <w:bookmarkStart w:id="321" w:name="_Toc296891234"/>
      <w:bookmarkStart w:id="322" w:name="_Toc296944533"/>
      <w:bookmarkStart w:id="323" w:name="_Toc297120494"/>
      <w:bookmarkStart w:id="324" w:name="_Toc312677500"/>
      <w:bookmarkStart w:id="325" w:name="_Toc296503194"/>
      <w:bookmarkStart w:id="326" w:name="_Toc297048380"/>
      <w:bookmarkStart w:id="327" w:name="_Toc292559399"/>
      <w:bookmarkStart w:id="328" w:name="_Toc304295567"/>
      <w:bookmarkStart w:id="329" w:name="_Toc296346695"/>
      <w:bookmarkStart w:id="330" w:name="_Toc303539147"/>
      <w:r>
        <w:rPr>
          <w:rFonts w:hint="eastAsia" w:ascii="宋体" w:hAnsi="宋体" w:eastAsia="宋体" w:cs="宋体"/>
          <w:color w:val="000000" w:themeColor="text1"/>
          <w:kern w:val="2"/>
          <w:sz w:val="24"/>
          <w:szCs w:val="24"/>
          <w:highlight w:val="none"/>
          <w:lang w:bidi="ar-SA"/>
          <w14:textFill>
            <w14:solidFill>
              <w14:schemeClr w14:val="tx1"/>
            </w14:solidFill>
          </w14:textFill>
        </w:rPr>
        <w:t>10.1 变更估价</w:t>
      </w:r>
    </w:p>
    <w:p w14:paraId="1994B96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10.1.1 变更估价原则</w:t>
      </w:r>
    </w:p>
    <w:p w14:paraId="343A635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10.1.1.1关于变更估价的约定</w:t>
      </w:r>
      <w:r>
        <w:rPr>
          <w:rFonts w:hint="eastAsia" w:ascii="宋体" w:hAnsi="宋体" w:eastAsia="宋体" w:cs="宋体"/>
          <w:color w:val="000000" w:themeColor="text1"/>
          <w:kern w:val="2"/>
          <w:sz w:val="24"/>
          <w:szCs w:val="24"/>
          <w:highlight w:val="none"/>
          <w:lang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1BAEC575">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1" w:name="_Toc296891025"/>
      <w:bookmarkStart w:id="332" w:name="_Toc300934993"/>
      <w:bookmarkStart w:id="333" w:name="_Toc297216203"/>
      <w:bookmarkStart w:id="334" w:name="_Toc303539150"/>
      <w:bookmarkStart w:id="335" w:name="_Toc297123544"/>
      <w:bookmarkStart w:id="336" w:name="_Toc296503197"/>
      <w:bookmarkStart w:id="337" w:name="_Toc296346698"/>
      <w:bookmarkStart w:id="338" w:name="_Toc297048383"/>
      <w:bookmarkStart w:id="339" w:name="_Toc297120497"/>
      <w:bookmarkStart w:id="340" w:name="_Toc296891237"/>
      <w:bookmarkStart w:id="341" w:name="_Toc296347196"/>
      <w:bookmarkStart w:id="342" w:name="_Toc292559402"/>
      <w:bookmarkStart w:id="343" w:name="_Toc292559907"/>
      <w:bookmarkStart w:id="344" w:name="_Toc296944536"/>
      <w:bookmarkStart w:id="345" w:name="_Toc304295570"/>
      <w:bookmarkStart w:id="346" w:name="_Toc312677503"/>
      <w:bookmarkStart w:id="347" w:name="_Toc312678029"/>
      <w:r>
        <w:rPr>
          <w:rFonts w:hint="eastAsia" w:ascii="宋体" w:hAnsi="宋体" w:eastAsia="宋体" w:cs="宋体"/>
          <w:color w:val="000000" w:themeColor="text1"/>
          <w:kern w:val="2"/>
          <w:sz w:val="24"/>
          <w:szCs w:val="24"/>
          <w:highlight w:val="none"/>
          <w:lang w:bidi="ar-SA"/>
          <w14:textFill>
            <w14:solidFill>
              <w14:schemeClr w14:val="tx1"/>
            </w14:solidFill>
          </w14:textFill>
        </w:rPr>
        <w:t>0.2承</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Start w:id="348" w:name="_Toc297048389"/>
      <w:bookmarkStart w:id="349" w:name="_Toc297216204"/>
      <w:bookmarkStart w:id="350" w:name="_Toc296944542"/>
      <w:bookmarkStart w:id="351" w:name="_Toc296891243"/>
      <w:bookmarkStart w:id="352" w:name="_Toc300934994"/>
      <w:bookmarkStart w:id="353" w:name="_Toc296346704"/>
      <w:bookmarkStart w:id="354" w:name="_Toc296503203"/>
      <w:bookmarkStart w:id="355" w:name="_Toc303539151"/>
      <w:bookmarkStart w:id="356" w:name="_Toc297123545"/>
      <w:bookmarkStart w:id="357" w:name="_Toc296891031"/>
      <w:bookmarkStart w:id="358" w:name="_Toc297120503"/>
      <w:bookmarkStart w:id="359" w:name="_Toc292559408"/>
      <w:bookmarkStart w:id="360" w:name="_Toc292559913"/>
      <w:bookmarkStart w:id="361" w:name="_Toc296347202"/>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包人的合理化建议 </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14:paraId="7C0C45C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监理人审查承包人合理化建议的期限：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F1B242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发包人审批承包人合理化建议的期限：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2003980">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w:t>
      </w:r>
      <w:bookmarkStart w:id="362" w:name="_Toc312678030"/>
      <w:bookmarkStart w:id="363" w:name="_Toc297123546"/>
      <w:bookmarkStart w:id="364" w:name="_Toc296891244"/>
      <w:bookmarkStart w:id="365" w:name="_Toc296944543"/>
      <w:bookmarkStart w:id="366" w:name="_Toc312677504"/>
      <w:bookmarkStart w:id="367" w:name="_Toc300934995"/>
      <w:bookmarkStart w:id="368" w:name="_Toc296346705"/>
      <w:bookmarkStart w:id="369" w:name="_Toc318581175"/>
      <w:bookmarkStart w:id="370" w:name="_Toc292559409"/>
      <w:bookmarkStart w:id="371" w:name="_Toc296347203"/>
      <w:bookmarkStart w:id="372" w:name="_Toc292559914"/>
      <w:bookmarkStart w:id="373" w:name="_Toc297048390"/>
      <w:bookmarkStart w:id="374" w:name="_Toc303539152"/>
      <w:bookmarkStart w:id="375" w:name="_Toc297120504"/>
      <w:bookmarkStart w:id="376" w:name="_Toc296503204"/>
      <w:bookmarkStart w:id="377" w:name="_Toc304295571"/>
      <w:bookmarkStart w:id="378" w:name="_Toc296891032"/>
      <w:bookmarkStart w:id="379" w:name="_Toc297216205"/>
      <w:r>
        <w:rPr>
          <w:rFonts w:hint="eastAsia" w:ascii="宋体" w:hAnsi="宋体" w:eastAsia="宋体" w:cs="宋体"/>
          <w:color w:val="000000" w:themeColor="text1"/>
          <w:kern w:val="2"/>
          <w:sz w:val="24"/>
          <w:szCs w:val="24"/>
          <w:highlight w:val="none"/>
          <w:lang w:bidi="ar-SA"/>
          <w14:textFill>
            <w14:solidFill>
              <w14:schemeClr w14:val="tx1"/>
            </w14:solidFill>
          </w14:textFill>
        </w:rPr>
        <w:t>包人提出的合理化建议降低了合同价格或者提高了工程经济效益的奖励的方法和金额为：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2A3A00B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10.3暂列金额</w:t>
      </w:r>
    </w:p>
    <w:p w14:paraId="48A4FA25">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hint="default"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合同当事人关于暂列金额使用的约定：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t xml:space="preserve">    </w:t>
      </w:r>
    </w:p>
    <w:p w14:paraId="6937A8EB">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380" w:name="_Toc469416379"/>
      <w:r>
        <w:rPr>
          <w:rFonts w:hint="eastAsia" w:ascii="宋体" w:hAnsi="宋体" w:eastAsia="宋体" w:cs="宋体"/>
          <w:b/>
          <w:color w:val="000000" w:themeColor="text1"/>
          <w:kern w:val="2"/>
          <w:sz w:val="24"/>
          <w:szCs w:val="24"/>
          <w:highlight w:val="none"/>
          <w:lang w:bidi="ar-SA"/>
          <w14:textFill>
            <w14:solidFill>
              <w14:schemeClr w14:val="tx1"/>
            </w14:solidFill>
          </w14:textFill>
        </w:rPr>
        <w:t>11. 价格调整</w:t>
      </w:r>
      <w:bookmarkEnd w:id="380"/>
    </w:p>
    <w:p w14:paraId="33BF76B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381" w:name="_Toc303539157"/>
      <w:bookmarkStart w:id="382" w:name="_Toc304295577"/>
      <w:bookmarkStart w:id="383" w:name="_Toc292559406"/>
      <w:bookmarkStart w:id="384" w:name="_Toc292559911"/>
      <w:bookmarkStart w:id="385" w:name="_Toc297123550"/>
      <w:bookmarkStart w:id="386" w:name="_Toc297048387"/>
      <w:bookmarkStart w:id="387" w:name="_Toc300935000"/>
      <w:bookmarkStart w:id="388" w:name="_Toc296891029"/>
      <w:bookmarkStart w:id="389" w:name="_Toc297120501"/>
      <w:bookmarkStart w:id="390" w:name="_Toc297216209"/>
      <w:bookmarkStart w:id="391" w:name="_Toc312678039"/>
      <w:bookmarkStart w:id="392" w:name="_Toc296346702"/>
      <w:bookmarkStart w:id="393" w:name="_Toc296944540"/>
      <w:bookmarkStart w:id="394" w:name="_Toc296347200"/>
      <w:bookmarkStart w:id="395" w:name="_Toc296503201"/>
      <w:bookmarkStart w:id="396" w:name="_Toc296891241"/>
      <w:r>
        <w:rPr>
          <w:rFonts w:hint="eastAsia" w:ascii="宋体" w:hAnsi="宋体" w:eastAsia="宋体" w:cs="宋体"/>
          <w:color w:val="000000" w:themeColor="text1"/>
          <w:kern w:val="2"/>
          <w:sz w:val="24"/>
          <w:szCs w:val="24"/>
          <w:highlight w:val="none"/>
          <w:lang w:bidi="ar-SA"/>
          <w14:textFill>
            <w14:solidFill>
              <w14:schemeClr w14:val="tx1"/>
            </w14:solidFill>
          </w14:textFill>
        </w:rPr>
        <w:t>11.1 市场价格</w:t>
      </w:r>
      <w:r>
        <w:rPr>
          <w:rFonts w:hint="eastAsia" w:ascii="宋体" w:hAnsi="宋体" w:eastAsia="宋体" w:cs="宋体"/>
          <w:color w:val="000000" w:themeColor="text1"/>
          <w:kern w:val="2"/>
          <w:sz w:val="24"/>
          <w:szCs w:val="24"/>
          <w:highlight w:val="none"/>
          <w:lang w:bidi="ar-SA"/>
          <w14:textFill>
            <w14:solidFill>
              <w14:schemeClr w14:val="tx1"/>
            </w14:solidFill>
          </w14:textFill>
        </w:rPr>
        <w:t>波动引起的调整</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14:paraId="216EDD7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因市场价格波动调整合同价格，采用以下方式对合同价格进行调整：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7813DC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关于基准价格的约定：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307"/>
    <w:bookmarkEnd w:id="308"/>
    <w:bookmarkEnd w:id="309"/>
    <w:bookmarkEnd w:id="310"/>
    <w:bookmarkEnd w:id="311"/>
    <w:bookmarkEnd w:id="312"/>
    <w:p w14:paraId="61FF761A">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397" w:name="_Toc292559915"/>
      <w:bookmarkStart w:id="398" w:name="_Toc296891033"/>
      <w:bookmarkStart w:id="399" w:name="_Toc296891245"/>
      <w:bookmarkStart w:id="400" w:name="_Toc296944544"/>
      <w:bookmarkStart w:id="401" w:name="_Toc297048391"/>
      <w:bookmarkStart w:id="402" w:name="_Toc297120505"/>
      <w:bookmarkStart w:id="403" w:name="_Toc296346706"/>
      <w:bookmarkStart w:id="404" w:name="_Toc296503205"/>
      <w:bookmarkStart w:id="405" w:name="_Toc296347204"/>
      <w:bookmarkStart w:id="406" w:name="_Toc292559410"/>
      <w:bookmarkStart w:id="407" w:name="_Toc469416380"/>
      <w:bookmarkStart w:id="408" w:name="_Toc312678040"/>
      <w:bookmarkStart w:id="409" w:name="_Toc303539159"/>
      <w:bookmarkStart w:id="410" w:name="_Toc304295579"/>
      <w:bookmarkStart w:id="411" w:name="_Toc297123552"/>
      <w:bookmarkStart w:id="412" w:name="_Toc300935002"/>
      <w:bookmarkStart w:id="413" w:name="_Toc297216211"/>
      <w:r>
        <w:rPr>
          <w:rFonts w:hint="eastAsia" w:ascii="宋体" w:hAnsi="宋体" w:eastAsia="宋体" w:cs="宋体"/>
          <w:b/>
          <w:color w:val="000000" w:themeColor="text1"/>
          <w:kern w:val="2"/>
          <w:sz w:val="24"/>
          <w:szCs w:val="24"/>
          <w:highlight w:val="none"/>
          <w:lang w:bidi="ar-SA"/>
          <w14:textFill>
            <w14:solidFill>
              <w14:schemeClr w14:val="tx1"/>
            </w14:solidFill>
          </w14:textFill>
        </w:rPr>
        <w:t xml:space="preserve">12. </w:t>
      </w:r>
      <w:bookmarkEnd w:id="397"/>
      <w:bookmarkEnd w:id="398"/>
      <w:bookmarkEnd w:id="399"/>
      <w:bookmarkEnd w:id="400"/>
      <w:bookmarkEnd w:id="401"/>
      <w:bookmarkEnd w:id="402"/>
      <w:bookmarkEnd w:id="403"/>
      <w:bookmarkEnd w:id="404"/>
      <w:bookmarkEnd w:id="405"/>
      <w:bookmarkEnd w:id="406"/>
      <w:r>
        <w:rPr>
          <w:rFonts w:hint="eastAsia" w:ascii="宋体" w:hAnsi="宋体" w:eastAsia="宋体" w:cs="宋体"/>
          <w:b/>
          <w:color w:val="000000" w:themeColor="text1"/>
          <w:kern w:val="2"/>
          <w:sz w:val="24"/>
          <w:szCs w:val="24"/>
          <w:highlight w:val="none"/>
          <w:lang w:bidi="ar-SA"/>
          <w14:textFill>
            <w14:solidFill>
              <w14:schemeClr w14:val="tx1"/>
            </w14:solidFill>
          </w14:textFill>
        </w:rPr>
        <w:t>合同价格、计量与支付</w:t>
      </w:r>
      <w:bookmarkEnd w:id="407"/>
    </w:p>
    <w:bookmarkEnd w:id="408"/>
    <w:bookmarkEnd w:id="409"/>
    <w:bookmarkEnd w:id="410"/>
    <w:bookmarkEnd w:id="411"/>
    <w:bookmarkEnd w:id="412"/>
    <w:bookmarkEnd w:id="413"/>
    <w:p w14:paraId="3AFE9A6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414" w:name="_Toc292559916"/>
      <w:bookmarkStart w:id="415" w:name="_Toc292559411"/>
      <w:bookmarkStart w:id="416" w:name="_Toc267251461"/>
      <w:bookmarkStart w:id="417" w:name="_Toc296891034"/>
      <w:bookmarkStart w:id="418" w:name="_Toc296347205"/>
      <w:bookmarkStart w:id="419" w:name="_Toc296891246"/>
      <w:bookmarkStart w:id="420" w:name="_Toc297120506"/>
      <w:bookmarkStart w:id="421" w:name="_Toc296346707"/>
      <w:bookmarkStart w:id="422" w:name="_Toc296944545"/>
      <w:bookmarkStart w:id="423" w:name="_Toc296503206"/>
      <w:bookmarkStart w:id="424" w:name="_Toc297048392"/>
      <w:bookmarkStart w:id="425" w:name="_Toc303539160"/>
      <w:bookmarkStart w:id="426" w:name="_Toc304295580"/>
      <w:bookmarkStart w:id="427" w:name="_Toc312678041"/>
      <w:bookmarkStart w:id="428" w:name="_Toc300935003"/>
      <w:bookmarkStart w:id="429" w:name="_Toc297216212"/>
      <w:bookmarkStart w:id="430" w:name="_Toc297123553"/>
      <w:r>
        <w:rPr>
          <w:rFonts w:hint="eastAsia" w:ascii="宋体" w:hAnsi="宋体" w:eastAsia="宋体" w:cs="宋体"/>
          <w:color w:val="000000" w:themeColor="text1"/>
          <w:kern w:val="2"/>
          <w:sz w:val="24"/>
          <w:szCs w:val="24"/>
          <w:highlight w:val="none"/>
          <w:lang w:bidi="ar-SA"/>
          <w14:textFill>
            <w14:solidFill>
              <w14:schemeClr w14:val="tx1"/>
            </w14:solidFill>
          </w14:textFill>
        </w:rPr>
        <w:t>12.1 合</w:t>
      </w:r>
      <w:bookmarkEnd w:id="414"/>
      <w:bookmarkEnd w:id="415"/>
      <w:bookmarkEnd w:id="416"/>
      <w:r>
        <w:rPr>
          <w:rFonts w:hint="eastAsia" w:ascii="宋体" w:hAnsi="宋体" w:eastAsia="宋体" w:cs="宋体"/>
          <w:color w:val="000000" w:themeColor="text1"/>
          <w:kern w:val="2"/>
          <w:sz w:val="24"/>
          <w:szCs w:val="24"/>
          <w:highlight w:val="none"/>
          <w:lang w:bidi="ar-SA"/>
          <w14:textFill>
            <w14:solidFill>
              <w14:schemeClr w14:val="tx1"/>
            </w14:solidFill>
          </w14:textFill>
        </w:rPr>
        <w:t>同价</w:t>
      </w:r>
      <w:bookmarkEnd w:id="417"/>
      <w:bookmarkEnd w:id="418"/>
      <w:bookmarkEnd w:id="419"/>
      <w:bookmarkEnd w:id="420"/>
      <w:bookmarkEnd w:id="421"/>
      <w:bookmarkEnd w:id="422"/>
      <w:bookmarkEnd w:id="423"/>
      <w:bookmarkEnd w:id="424"/>
      <w:r>
        <w:rPr>
          <w:rFonts w:hint="eastAsia" w:ascii="宋体" w:hAnsi="宋体" w:eastAsia="宋体" w:cs="宋体"/>
          <w:color w:val="000000" w:themeColor="text1"/>
          <w:kern w:val="2"/>
          <w:sz w:val="24"/>
          <w:szCs w:val="24"/>
          <w:highlight w:val="none"/>
          <w:lang w:bidi="ar-SA"/>
          <w14:textFill>
            <w14:solidFill>
              <w14:schemeClr w14:val="tx1"/>
            </w14:solidFill>
          </w14:textFill>
        </w:rPr>
        <w:t>格形式</w:t>
      </w:r>
    </w:p>
    <w:p w14:paraId="0F91CC9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发包人和承包人约定执行</w:t>
      </w:r>
      <w:r>
        <w:rPr>
          <w:rFonts w:hint="eastAsia" w:ascii="宋体" w:hAnsi="宋体" w:eastAsia="宋体" w:cs="宋体"/>
          <w:b/>
          <w:bCs/>
          <w:color w:val="000000" w:themeColor="text1"/>
          <w:kern w:val="0"/>
          <w:sz w:val="24"/>
          <w:szCs w:val="24"/>
          <w:highlight w:val="none"/>
          <w:lang w:val="en-US" w:eastAsia="zh-CN" w:bidi="ar-SA"/>
          <w14:textFill>
            <w14:solidFill>
              <w14:schemeClr w14:val="tx1"/>
            </w14:solidFill>
          </w14:textFill>
        </w:rPr>
        <w:t>总价</w:t>
      </w:r>
      <w:r>
        <w:rPr>
          <w:rFonts w:hint="eastAsia" w:ascii="宋体" w:hAnsi="宋体" w:eastAsia="宋体" w:cs="宋体"/>
          <w:b/>
          <w:bCs/>
          <w:color w:val="000000" w:themeColor="text1"/>
          <w:kern w:val="0"/>
          <w:sz w:val="24"/>
          <w:szCs w:val="24"/>
          <w:highlight w:val="none"/>
          <w:lang w:bidi="ar-SA"/>
          <w14:textFill>
            <w14:solidFill>
              <w14:schemeClr w14:val="tx1"/>
            </w14:solidFill>
          </w14:textFill>
        </w:rPr>
        <w:t>合同</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bookmarkEnd w:id="425"/>
    <w:bookmarkEnd w:id="426"/>
    <w:bookmarkEnd w:id="427"/>
    <w:bookmarkEnd w:id="428"/>
    <w:bookmarkEnd w:id="429"/>
    <w:bookmarkEnd w:id="430"/>
    <w:p w14:paraId="40D2AA6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合同总价</w:t>
      </w:r>
      <w:r>
        <w:rPr>
          <w:rFonts w:hint="eastAsia" w:ascii="宋体" w:hAnsi="宋体" w:eastAsia="宋体" w:cs="宋体"/>
          <w:color w:val="000000" w:themeColor="text1"/>
          <w:kern w:val="2"/>
          <w:sz w:val="24"/>
          <w:szCs w:val="24"/>
          <w:highlight w:val="none"/>
          <w:lang w:bidi="ar-SA"/>
          <w14:textFill>
            <w14:solidFill>
              <w14:schemeClr w14:val="tx1"/>
            </w14:solidFill>
          </w14:textFill>
        </w:rPr>
        <w:t>包含的风险范围：</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F3F9E5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风险费用的计算方法：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3E5263C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风险范围以外合同价格的调整方法：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3450C3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431" w:name="_Toc300935004"/>
      <w:bookmarkStart w:id="432" w:name="_Toc297216213"/>
      <w:bookmarkStart w:id="433" w:name="_Toc303539161"/>
      <w:bookmarkStart w:id="434" w:name="_Toc304295581"/>
      <w:bookmarkStart w:id="435" w:name="_Toc297123554"/>
      <w:bookmarkStart w:id="436" w:name="_Toc312678042"/>
      <w:bookmarkStart w:id="437" w:name="_Toc296891247"/>
      <w:bookmarkStart w:id="438" w:name="_Toc297048393"/>
      <w:bookmarkStart w:id="439" w:name="_Toc296944546"/>
      <w:bookmarkStart w:id="440" w:name="_Toc297120507"/>
      <w:bookmarkStart w:id="441" w:name="_Toc292559412"/>
      <w:bookmarkStart w:id="442" w:name="_Toc292559917"/>
      <w:bookmarkStart w:id="443" w:name="_Toc296346708"/>
      <w:bookmarkStart w:id="444" w:name="_Toc296891035"/>
      <w:bookmarkStart w:id="445" w:name="_Toc296347206"/>
      <w:bookmarkStart w:id="446" w:name="_Toc296503207"/>
      <w:r>
        <w:rPr>
          <w:rFonts w:hint="eastAsia" w:ascii="宋体" w:hAnsi="宋体" w:eastAsia="宋体" w:cs="宋体"/>
          <w:color w:val="000000" w:themeColor="text1"/>
          <w:kern w:val="2"/>
          <w:sz w:val="24"/>
          <w:szCs w:val="24"/>
          <w:highlight w:val="none"/>
          <w:lang w:bidi="ar-SA"/>
          <w14:textFill>
            <w14:solidFill>
              <w14:schemeClr w14:val="tx1"/>
            </w14:solidFill>
          </w14:textFill>
        </w:rPr>
        <w:t>12.2 预付款</w:t>
      </w:r>
    </w:p>
    <w:bookmarkEnd w:id="431"/>
    <w:bookmarkEnd w:id="432"/>
    <w:bookmarkEnd w:id="433"/>
    <w:bookmarkEnd w:id="434"/>
    <w:bookmarkEnd w:id="435"/>
    <w:bookmarkEnd w:id="436"/>
    <w:p w14:paraId="4D59115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12.2.1 预付款的支付</w:t>
      </w:r>
    </w:p>
    <w:p w14:paraId="148BBC1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b/>
          <w:bCs/>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预付款支付比例或金额：</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p>
    <w:p w14:paraId="285581B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预付款支付期限：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AAFACF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b/>
          <w:bCs/>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预付款扣回的方式：</w:t>
      </w:r>
      <w:r>
        <w:rPr>
          <w:rFonts w:hint="eastAsia" w:ascii="宋体" w:hAnsi="宋体" w:eastAsia="宋体" w:cs="宋体"/>
          <w:b/>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b/>
          <w:bCs/>
          <w:color w:val="000000" w:themeColor="text1"/>
          <w:kern w:val="2"/>
          <w:sz w:val="24"/>
          <w:szCs w:val="24"/>
          <w:highlight w:val="none"/>
          <w:u w:val="single"/>
          <w:lang w:bidi="ar-SA"/>
          <w14:textFill>
            <w14:solidFill>
              <w14:schemeClr w14:val="tx1"/>
            </w14:solidFill>
          </w14:textFill>
        </w:rPr>
        <w:t xml:space="preserve">              。</w:t>
      </w:r>
    </w:p>
    <w:p w14:paraId="33E5CC4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12.2.2 预付款担保</w:t>
      </w:r>
    </w:p>
    <w:p w14:paraId="5C95518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承包人提交预付款担保的期限：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9F0689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预付款担保的形式为：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437"/>
    <w:bookmarkEnd w:id="438"/>
    <w:bookmarkEnd w:id="439"/>
    <w:bookmarkEnd w:id="440"/>
    <w:bookmarkEnd w:id="441"/>
    <w:bookmarkEnd w:id="442"/>
    <w:bookmarkEnd w:id="443"/>
    <w:bookmarkEnd w:id="444"/>
    <w:bookmarkEnd w:id="445"/>
    <w:bookmarkEnd w:id="446"/>
    <w:p w14:paraId="2A42B33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 计量</w:t>
      </w:r>
    </w:p>
    <w:p w14:paraId="25F6FC0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12.3.1 计量原则</w:t>
      </w:r>
    </w:p>
    <w:p w14:paraId="19AFE05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工程量计算规则：</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6C6DD9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12.3.2 计量周期</w:t>
      </w:r>
    </w:p>
    <w:p w14:paraId="1BA3EE5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关于计量周期的约定：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同付款节点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2AB11CE">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12.3.3 单价合同的计量</w:t>
      </w:r>
    </w:p>
    <w:p w14:paraId="38BC11D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关于单价合同计量的约定：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08D98A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12.3.4 总价合同的计量</w:t>
      </w:r>
    </w:p>
    <w:p w14:paraId="5FB6888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关于总价合同计量的约定：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65075C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12.3.5总价合同采用支付分解表计量支付的，是否适用第</w:t>
      </w:r>
      <w:r>
        <w:rPr>
          <w:rFonts w:hint="eastAsia" w:ascii="宋体" w:hAnsi="宋体" w:eastAsia="宋体" w:cs="宋体"/>
          <w:color w:val="000000" w:themeColor="text1"/>
          <w:kern w:val="0"/>
          <w:sz w:val="24"/>
          <w:szCs w:val="24"/>
          <w:highlight w:val="none"/>
          <w:lang w:bidi="ar-SA"/>
          <w14:textFill>
            <w14:solidFill>
              <w14:schemeClr w14:val="tx1"/>
            </w14:solidFill>
          </w14:textFill>
        </w:rPr>
        <w:t xml:space="preserve">12.3.4 </w:t>
      </w:r>
      <w:r>
        <w:rPr>
          <w:rFonts w:hint="eastAsia" w:ascii="宋体" w:hAnsi="宋体" w:eastAsia="宋体" w:cs="宋体"/>
          <w:color w:val="000000" w:themeColor="text1"/>
          <w:kern w:val="2"/>
          <w:sz w:val="24"/>
          <w:szCs w:val="24"/>
          <w:highlight w:val="none"/>
          <w:lang w:bidi="ar-SA"/>
          <w14:textFill>
            <w14:solidFill>
              <w14:schemeClr w14:val="tx1"/>
            </w14:solidFill>
          </w14:textFill>
        </w:rPr>
        <w:t>项</w:t>
      </w:r>
      <w:r>
        <w:rPr>
          <w:rFonts w:hint="eastAsia" w:ascii="宋体" w:hAnsi="宋体" w:eastAsia="宋体" w:cs="宋体"/>
          <w:color w:val="000000" w:themeColor="text1"/>
          <w:kern w:val="0"/>
          <w:sz w:val="24"/>
          <w:szCs w:val="24"/>
          <w:highlight w:val="none"/>
          <w:lang w:bidi="ar-SA"/>
          <w14:textFill>
            <w14:solidFill>
              <w14:schemeClr w14:val="tx1"/>
            </w14:solidFill>
          </w14:textFill>
        </w:rPr>
        <w:t>〔总价合同的计量〕</w:t>
      </w:r>
      <w:r>
        <w:rPr>
          <w:rFonts w:hint="eastAsia" w:ascii="宋体" w:hAnsi="宋体" w:eastAsia="宋体" w:cs="宋体"/>
          <w:color w:val="000000" w:themeColor="text1"/>
          <w:kern w:val="2"/>
          <w:sz w:val="24"/>
          <w:szCs w:val="24"/>
          <w:highlight w:val="none"/>
          <w:lang w:bidi="ar-SA"/>
          <w14:textFill>
            <w14:solidFill>
              <w14:schemeClr w14:val="tx1"/>
            </w14:solidFill>
          </w14:textFill>
        </w:rPr>
        <w:t>约定进行计量：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BE9C10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12.3.6 其他价格形式合同的计量</w:t>
      </w:r>
    </w:p>
    <w:p w14:paraId="6B995F7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其他价格形式的计量方式和程序：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3A4F319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12.4 工程进度款支付</w:t>
      </w:r>
    </w:p>
    <w:p w14:paraId="029A334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447" w:name="_Toc296347210"/>
      <w:bookmarkStart w:id="448" w:name="_Toc292559921"/>
      <w:bookmarkStart w:id="449" w:name="_Toc296503211"/>
      <w:bookmarkStart w:id="450" w:name="_Toc296346712"/>
      <w:bookmarkStart w:id="451" w:name="_Toc303539163"/>
      <w:bookmarkStart w:id="452" w:name="_Toc292559416"/>
      <w:bookmarkStart w:id="453" w:name="_Toc300935006"/>
      <w:bookmarkStart w:id="454" w:name="_Toc296891039"/>
      <w:bookmarkStart w:id="455" w:name="_Toc297123556"/>
      <w:bookmarkStart w:id="456" w:name="_Toc297048397"/>
      <w:bookmarkStart w:id="457" w:name="_Toc296944550"/>
      <w:bookmarkStart w:id="458" w:name="_Toc297216215"/>
      <w:bookmarkStart w:id="459" w:name="_Toc296891251"/>
      <w:bookmarkStart w:id="460" w:name="_Toc297120511"/>
      <w:r>
        <w:rPr>
          <w:rFonts w:hint="eastAsia" w:ascii="宋体" w:hAnsi="宋体" w:eastAsia="宋体" w:cs="宋体"/>
          <w:color w:val="000000" w:themeColor="text1"/>
          <w:kern w:val="2"/>
          <w:sz w:val="24"/>
          <w:szCs w:val="24"/>
          <w:highlight w:val="none"/>
          <w:lang w:bidi="ar-SA"/>
          <w14:textFill>
            <w14:solidFill>
              <w14:schemeClr w14:val="tx1"/>
            </w14:solidFill>
          </w14:textFill>
        </w:rPr>
        <w:t>12.4.1 付款周期</w:t>
      </w:r>
    </w:p>
    <w:p w14:paraId="09F69E6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color w:val="000000" w:themeColor="text1"/>
          <w:szCs w:val="24"/>
          <w:highlight w:val="none"/>
          <w:u w:val="single"/>
          <w:lang w:val="en-US" w:eastAsia="zh-CN"/>
          <w14:textFill>
            <w14:solidFill>
              <w14:schemeClr w14:val="tx1"/>
            </w14:solidFill>
          </w14:textFill>
        </w:rPr>
      </w:pPr>
      <w:r>
        <w:rPr>
          <w:rFonts w:hint="eastAsia" w:ascii="宋体" w:hAnsi="宋体" w:cs="宋体"/>
          <w:b w:val="0"/>
          <w:bCs/>
          <w:color w:val="000000" w:themeColor="text1"/>
          <w:szCs w:val="24"/>
          <w:highlight w:val="none"/>
          <w:u w:val="single"/>
          <w:lang w:val="en-US" w:eastAsia="zh-CN"/>
          <w14:textFill>
            <w14:solidFill>
              <w14:schemeClr w14:val="tx1"/>
            </w14:solidFill>
          </w14:textFill>
        </w:rPr>
        <w:t>（1）合同签订后甲方向乙方支付合同金额40﹪；</w:t>
      </w:r>
    </w:p>
    <w:p w14:paraId="56D093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color w:val="000000" w:themeColor="text1"/>
          <w:szCs w:val="24"/>
          <w:highlight w:val="none"/>
          <w:u w:val="single"/>
          <w:lang w:val="en-US" w:eastAsia="zh-CN"/>
          <w14:textFill>
            <w14:solidFill>
              <w14:schemeClr w14:val="tx1"/>
            </w14:solidFill>
          </w14:textFill>
        </w:rPr>
      </w:pPr>
      <w:r>
        <w:rPr>
          <w:rFonts w:hint="eastAsia" w:ascii="宋体" w:hAnsi="宋体" w:cs="宋体"/>
          <w:b w:val="0"/>
          <w:bCs/>
          <w:color w:val="000000" w:themeColor="text1"/>
          <w:szCs w:val="24"/>
          <w:highlight w:val="none"/>
          <w:u w:val="single"/>
          <w:lang w:val="en-US" w:eastAsia="zh-CN"/>
          <w14:textFill>
            <w14:solidFill>
              <w14:schemeClr w14:val="tx1"/>
            </w14:solidFill>
          </w14:textFill>
        </w:rPr>
        <w:t>（2）项目验收合格后，结算审计完成并协助学校取得住建部门建设工程消防评估论证意见函后甲方向乙方支付至结算审计金额的100%。</w:t>
      </w:r>
    </w:p>
    <w:p w14:paraId="062AC6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color w:val="000000" w:themeColor="text1"/>
          <w:szCs w:val="24"/>
          <w:highlight w:val="none"/>
          <w:u w:val="single"/>
          <w:lang w:val="en-US" w:eastAsia="zh-CN"/>
          <w14:textFill>
            <w14:solidFill>
              <w14:schemeClr w14:val="tx1"/>
            </w14:solidFill>
          </w14:textFill>
        </w:rPr>
      </w:pPr>
      <w:r>
        <w:rPr>
          <w:rFonts w:hint="eastAsia" w:ascii="宋体" w:hAnsi="宋体" w:cs="宋体"/>
          <w:b w:val="0"/>
          <w:bCs/>
          <w:color w:val="000000" w:themeColor="text1"/>
          <w:szCs w:val="24"/>
          <w:highlight w:val="none"/>
          <w:u w:val="single"/>
          <w:lang w:val="en-US" w:eastAsia="zh-CN"/>
          <w14:textFill>
            <w14:solidFill>
              <w14:schemeClr w14:val="tx1"/>
            </w14:solidFill>
          </w14:textFill>
        </w:rPr>
        <w:t>（3）供应商应于采购人每次付款前向采购人开具等额发票。因供应商迟延开票，采购人有权拒不付款且不承担任何责任。</w:t>
      </w:r>
    </w:p>
    <w:p w14:paraId="6B27AD4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12.4.2 进度付款申请单的编制</w:t>
      </w:r>
    </w:p>
    <w:p w14:paraId="10963D0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关于进度付款申请单编制的约定：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7D3BBE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Pr>
          <w:rFonts w:hint="eastAsia" w:ascii="宋体" w:hAnsi="宋体" w:eastAsia="宋体" w:cs="宋体"/>
          <w:color w:val="000000" w:themeColor="text1"/>
          <w:kern w:val="2"/>
          <w:sz w:val="24"/>
          <w:szCs w:val="24"/>
          <w:highlight w:val="none"/>
          <w:lang w:bidi="ar-SA"/>
          <w14:textFill>
            <w14:solidFill>
              <w14:schemeClr w14:val="tx1"/>
            </w14:solidFill>
          </w14:textFill>
        </w:rPr>
        <w:t>2.4.3 进度付款申请单的提交</w:t>
      </w:r>
    </w:p>
    <w:p w14:paraId="76C27C2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（1）单价合同进度付款申请单提交的约定：</w:t>
      </w:r>
      <w:r>
        <w:rPr>
          <w:rFonts w:hint="eastAsia" w:ascii="宋体" w:hAnsi="宋体" w:eastAsia="宋体" w:cs="宋体"/>
          <w:b/>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 w:val="0"/>
          <w:bCs w:val="0"/>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 w:val="0"/>
          <w:bCs w:val="0"/>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
          <w:bCs/>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F9242B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（2）总价合同进度付款申请单提交的约定：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0813EB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（3）其他价格形式合同进度付款申请单提交的约定：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b w:val="0"/>
          <w:bCs w:val="0"/>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3BFF9F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12.4.4 进度款审核和支付</w:t>
      </w:r>
    </w:p>
    <w:p w14:paraId="71502BC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（1）监理人审查并报送发包人的期限：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9E9C26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发包人完成审批并签发进度款支付证书的期限：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F1F9AD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发包人逾期支付进度款的违约金的计算方式：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2F0535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12.4.5 支付分解表的编制</w:t>
      </w:r>
    </w:p>
    <w:p w14:paraId="0ADBB1F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①总价合同支付分解表的编制与审批：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47433F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②单价合同的总价项目支付分解表的编制与审批：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bookmarkEnd w:id="313"/>
    <w:p w14:paraId="05D1F1FF">
      <w:pPr>
        <w:keepNext/>
        <w:keepLines/>
        <w:pageBreakBefore w:val="0"/>
        <w:widowControl w:val="0"/>
        <w:kinsoku/>
        <w:wordWrap/>
        <w:overflowPunct/>
        <w:topLinePunct w:val="0"/>
        <w:bidi w:val="0"/>
        <w:adjustRightInd w:val="0"/>
        <w:snapToGrid w:val="0"/>
        <w:spacing w:before="120" w:line="360" w:lineRule="auto"/>
        <w:ind w:firstLine="480" w:firstLineChars="200"/>
        <w:jc w:val="both"/>
        <w:textAlignment w:val="auto"/>
        <w:outlineLvl w:val="3"/>
        <w:rPr>
          <w:rFonts w:ascii="宋体" w:hAnsi="宋体" w:eastAsia="宋体" w:cs="宋体"/>
          <w:bCs/>
          <w:color w:val="000000" w:themeColor="text1"/>
          <w:kern w:val="2"/>
          <w:sz w:val="24"/>
          <w:szCs w:val="24"/>
          <w:highlight w:val="none"/>
          <w:lang w:bidi="ar-SA"/>
          <w14:textFill>
            <w14:solidFill>
              <w14:schemeClr w14:val="tx1"/>
            </w14:solidFill>
          </w14:textFill>
        </w:rPr>
      </w:pPr>
      <w:bookmarkStart w:id="461" w:name="_Toc469416381"/>
      <w:bookmarkStart w:id="462" w:name="_Toc312678053"/>
      <w:bookmarkStart w:id="463" w:name="_Toc300935015"/>
      <w:bookmarkStart w:id="464" w:name="_Toc297120519"/>
      <w:bookmarkStart w:id="465" w:name="_Toc303539172"/>
      <w:bookmarkStart w:id="466" w:name="_Toc296347218"/>
      <w:bookmarkStart w:id="467" w:name="_Toc297048405"/>
      <w:bookmarkStart w:id="468" w:name="_Toc297123564"/>
      <w:bookmarkStart w:id="469" w:name="_Toc292559424"/>
      <w:bookmarkStart w:id="470" w:name="_Toc296944558"/>
      <w:bookmarkStart w:id="471" w:name="_Toc292559929"/>
      <w:bookmarkStart w:id="472" w:name="_Toc296503219"/>
      <w:bookmarkStart w:id="473" w:name="_Toc296891047"/>
      <w:bookmarkStart w:id="474" w:name="_Toc296891259"/>
      <w:bookmarkStart w:id="475" w:name="_Toc296346720"/>
      <w:bookmarkStart w:id="476" w:name="_Toc297216223"/>
      <w:bookmarkStart w:id="477" w:name="_Toc304295593"/>
      <w:r>
        <w:rPr>
          <w:rFonts w:hint="eastAsia" w:ascii="宋体" w:hAnsi="宋体" w:eastAsia="宋体" w:cs="宋体"/>
          <w:bCs/>
          <w:color w:val="000000" w:themeColor="text1"/>
          <w:kern w:val="2"/>
          <w:sz w:val="24"/>
          <w:szCs w:val="24"/>
          <w:highlight w:val="none"/>
          <w:lang w:bidi="ar-SA"/>
          <w14:textFill>
            <w14:solidFill>
              <w14:schemeClr w14:val="tx1"/>
            </w14:solidFill>
          </w14:textFill>
        </w:rPr>
        <w:t>13. 验收和工程试车</w:t>
      </w:r>
      <w:bookmarkEnd w:id="461"/>
    </w:p>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14:paraId="546B668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13.1 分部分项工程验收</w:t>
      </w:r>
    </w:p>
    <w:p w14:paraId="484FD21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13.1.1监理人不能按时进行验收时，应提前</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小时提交书面延期要求。</w:t>
      </w:r>
    </w:p>
    <w:p w14:paraId="0718F3C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关于延期最长不得超过：</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小时。</w:t>
      </w:r>
    </w:p>
    <w:p w14:paraId="628BA8A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478" w:name="_Toc297216224"/>
      <w:bookmarkStart w:id="479" w:name="_Toc296944562"/>
      <w:bookmarkStart w:id="480" w:name="_Toc292559428"/>
      <w:bookmarkStart w:id="481" w:name="_Toc296891051"/>
      <w:bookmarkStart w:id="482" w:name="_Toc296346724"/>
      <w:bookmarkStart w:id="483" w:name="_Toc300935016"/>
      <w:bookmarkStart w:id="484" w:name="_Toc304295596"/>
      <w:bookmarkStart w:id="485" w:name="_Toc297123565"/>
      <w:bookmarkStart w:id="486" w:name="_Toc312678056"/>
      <w:bookmarkStart w:id="487" w:name="_Toc297120523"/>
      <w:bookmarkStart w:id="488" w:name="_Toc296891263"/>
      <w:bookmarkStart w:id="489" w:name="_Toc297048409"/>
      <w:bookmarkStart w:id="490" w:name="_Toc296347222"/>
      <w:bookmarkStart w:id="491" w:name="_Toc303539173"/>
      <w:bookmarkStart w:id="492" w:name="_Toc292559933"/>
      <w:bookmarkStart w:id="493" w:name="_Toc296503223"/>
      <w:bookmarkStart w:id="494" w:name="_Toc267251472"/>
      <w:bookmarkStart w:id="495" w:name="_Toc267251470"/>
      <w:bookmarkStart w:id="496" w:name="_Toc267251476"/>
      <w:bookmarkStart w:id="497" w:name="_Toc267251473"/>
      <w:bookmarkStart w:id="498" w:name="_Toc267251471"/>
      <w:bookmarkStart w:id="499" w:name="_Toc267251474"/>
      <w:bookmarkStart w:id="500" w:name="_Toc267251475"/>
      <w:r>
        <w:rPr>
          <w:rFonts w:hint="eastAsia" w:ascii="宋体" w:hAnsi="宋体" w:eastAsia="宋体" w:cs="宋体"/>
          <w:color w:val="000000" w:themeColor="text1"/>
          <w:kern w:val="2"/>
          <w:sz w:val="24"/>
          <w:szCs w:val="24"/>
          <w:highlight w:val="none"/>
          <w:lang w:bidi="ar-SA"/>
          <w14:textFill>
            <w14:solidFill>
              <w14:schemeClr w14:val="tx1"/>
            </w14:solidFill>
          </w14:textFill>
        </w:rPr>
        <w:t>13.2 竣工验收</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007250D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bookmarkStart w:id="501" w:name="_Toc280868704"/>
      <w:bookmarkStart w:id="502" w:name="_Toc280868705"/>
      <w:bookmarkStart w:id="503" w:name="_Toc280868706"/>
      <w:bookmarkStart w:id="504" w:name="_Toc280868707"/>
      <w:bookmarkStart w:id="505" w:name="_Toc280868708"/>
      <w:bookmarkStart w:id="506" w:name="_Toc280868709"/>
      <w:r>
        <w:rPr>
          <w:rFonts w:hint="eastAsia" w:ascii="宋体" w:hAnsi="宋体" w:eastAsia="宋体" w:cs="宋体"/>
          <w:color w:val="000000" w:themeColor="text1"/>
          <w:kern w:val="2"/>
          <w:sz w:val="24"/>
          <w:szCs w:val="24"/>
          <w:highlight w:val="none"/>
          <w:lang w:bidi="ar-SA"/>
          <w14:textFill>
            <w14:solidFill>
              <w14:schemeClr w14:val="tx1"/>
            </w14:solidFill>
          </w14:textFill>
        </w:rPr>
        <w:t>13.2.1竣工验收程序</w:t>
      </w:r>
    </w:p>
    <w:bookmarkEnd w:id="501"/>
    <w:p w14:paraId="45D108E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关于竣工验收程序的约定：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按发包人相关规定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177F060">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发包人不按照本项约定组织竣工验收、颁发工程接收证书的违约金的计算方法：</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执行通用条款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B74869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13.2.2</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工程经竣工验收合格的，以竣工验收合格之日为实际竣工日期，并在工程接收证书中载明。</w:t>
      </w:r>
    </w:p>
    <w:bookmarkEnd w:id="502"/>
    <w:p w14:paraId="5ED4991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13.2.3移交、接收全部与部分工程</w:t>
      </w:r>
    </w:p>
    <w:bookmarkEnd w:id="503"/>
    <w:p w14:paraId="4C59608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承包人向发包人移交工程的期限：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项目竣工验收通过5个工作日，包括钥匙及水电图纸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1C6A7C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发包人未按本合同约定接收全部或部分工程的，违约金的计算方法为：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双方另行约定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504"/>
    <w:p w14:paraId="7F1F9A6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承包人未按时移交工程的，违约金的计算方法为：</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按合同总价5%计</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4F146D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13.3 工程试车</w:t>
      </w:r>
    </w:p>
    <w:bookmarkEnd w:id="505"/>
    <w:p w14:paraId="3F69FFA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13.3.1 试车程序</w:t>
      </w:r>
    </w:p>
    <w:p w14:paraId="1986540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工程试车内容：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p>
    <w:p w14:paraId="3863AD0E">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（1）单机无负荷试车费用由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承包人       </w:t>
      </w:r>
      <w:r>
        <w:rPr>
          <w:rFonts w:hint="eastAsia" w:ascii="宋体" w:hAnsi="宋体" w:eastAsia="宋体" w:cs="宋体"/>
          <w:color w:val="000000" w:themeColor="text1"/>
          <w:kern w:val="0"/>
          <w:sz w:val="24"/>
          <w:szCs w:val="24"/>
          <w:highlight w:val="none"/>
          <w:lang w:bidi="ar-SA"/>
          <w14:textFill>
            <w14:solidFill>
              <w14:schemeClr w14:val="tx1"/>
            </w14:solidFill>
          </w14:textFill>
        </w:rPr>
        <w:t>承担；</w:t>
      </w:r>
    </w:p>
    <w:p w14:paraId="1691DEAC">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（2）无负荷联动试车费用由</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承包人       </w:t>
      </w:r>
      <w:r>
        <w:rPr>
          <w:rFonts w:hint="eastAsia" w:ascii="宋体" w:hAnsi="宋体" w:eastAsia="宋体" w:cs="宋体"/>
          <w:color w:val="000000" w:themeColor="text1"/>
          <w:kern w:val="0"/>
          <w:sz w:val="24"/>
          <w:szCs w:val="24"/>
          <w:highlight w:val="none"/>
          <w:lang w:bidi="ar-SA"/>
          <w14:textFill>
            <w14:solidFill>
              <w14:schemeClr w14:val="tx1"/>
            </w14:solidFill>
          </w14:textFill>
        </w:rPr>
        <w:t>承担。</w:t>
      </w:r>
    </w:p>
    <w:p w14:paraId="1C5A8CC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13.4竣工退场</w:t>
      </w:r>
    </w:p>
    <w:p w14:paraId="2CCA752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13.4.1 竣工退场</w:t>
      </w:r>
    </w:p>
    <w:p w14:paraId="088825B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承包人完成竣工退场的期限：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3个</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日历天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56FB2201">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07" w:name="_Toc469416382"/>
      <w:r>
        <w:rPr>
          <w:rFonts w:hint="eastAsia" w:ascii="宋体" w:hAnsi="宋体" w:eastAsia="宋体" w:cs="宋体"/>
          <w:b/>
          <w:color w:val="000000" w:themeColor="text1"/>
          <w:kern w:val="2"/>
          <w:sz w:val="24"/>
          <w:szCs w:val="24"/>
          <w:highlight w:val="none"/>
          <w:lang w:bidi="ar-SA"/>
          <w14:textFill>
            <w14:solidFill>
              <w14:schemeClr w14:val="tx1"/>
            </w14:solidFill>
          </w14:textFill>
        </w:rPr>
        <w:t>14. 竣工结算</w:t>
      </w:r>
      <w:bookmarkEnd w:id="507"/>
    </w:p>
    <w:p w14:paraId="1DEA282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14.1 竣工结算申请</w:t>
      </w:r>
    </w:p>
    <w:p w14:paraId="3AA5E51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承包人提交竣工结算申请单的期限：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8E5C92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竣工结算申请单应包括的内容：</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按发包人相关规定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2640B6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14.2 竣工结算审核</w:t>
      </w:r>
    </w:p>
    <w:p w14:paraId="42BC1CC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发包人审批竣工付款申请单的期限：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37968B6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发包人完成竣工付款的期限：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根据确认的竣工结算报告，承包人向发包人申请工程竣工结算款。发包人应在收到申请后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30</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天内按合同约定支付结算款， 到期没有支付应承担违约责任</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67B1548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关于竣工付款证书异议部分复核的方式和程序：待异议解决后一并</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支付</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BC70802">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14.3 最终结清</w:t>
      </w:r>
    </w:p>
    <w:p w14:paraId="14DCAD3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14.3.1 最终结清申请单</w:t>
      </w:r>
    </w:p>
    <w:p w14:paraId="25CBA4D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承包人提交最终结清申请单的份数：</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2份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6E676D0">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承包人提交最终结算申请单的期限：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项目验收后3天内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766A8C1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14.3.2 最终结清证书和支付</w:t>
      </w:r>
    </w:p>
    <w:p w14:paraId="5DB579C6">
      <w:pPr>
        <w:pageBreakBefore w:val="0"/>
        <w:widowControl w:val="0"/>
        <w:tabs>
          <w:tab w:val="left" w:pos="900"/>
        </w:tabs>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（1）发包人完成最终结清申请单的审批并颁发最终结清证书的期限：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审计完成后3天内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3434C2C">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（2）发包人完成支付的期限：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30</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天内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bookmarkEnd w:id="494"/>
    <w:bookmarkEnd w:id="495"/>
    <w:bookmarkEnd w:id="496"/>
    <w:bookmarkEnd w:id="497"/>
    <w:bookmarkEnd w:id="498"/>
    <w:bookmarkEnd w:id="499"/>
    <w:bookmarkEnd w:id="500"/>
    <w:bookmarkEnd w:id="506"/>
    <w:p w14:paraId="3543ABF9">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08" w:name="_Toc469416383"/>
      <w:bookmarkStart w:id="509" w:name="_Toc267251483"/>
      <w:bookmarkStart w:id="510" w:name="_Toc267251482"/>
      <w:bookmarkStart w:id="511" w:name="_Toc267251484"/>
      <w:bookmarkStart w:id="512" w:name="_Toc267251486"/>
      <w:bookmarkStart w:id="513" w:name="_Toc267251489"/>
      <w:bookmarkStart w:id="514" w:name="_Toc267251485"/>
      <w:bookmarkStart w:id="515" w:name="_Toc267251490"/>
      <w:bookmarkStart w:id="516" w:name="_Toc267251488"/>
      <w:bookmarkStart w:id="517" w:name="_Toc267251492"/>
      <w:bookmarkStart w:id="518" w:name="_Toc267251501"/>
      <w:bookmarkStart w:id="519" w:name="_Toc267251495"/>
      <w:bookmarkStart w:id="520" w:name="_Toc267251503"/>
      <w:bookmarkStart w:id="521" w:name="_Toc267251496"/>
      <w:bookmarkStart w:id="522" w:name="_Toc267251491"/>
      <w:bookmarkStart w:id="523" w:name="_Toc267251499"/>
      <w:bookmarkStart w:id="524" w:name="_Toc267251497"/>
      <w:bookmarkStart w:id="525" w:name="_Toc267251502"/>
      <w:bookmarkStart w:id="526" w:name="_Toc267251498"/>
      <w:bookmarkStart w:id="527" w:name="_Toc267251493"/>
      <w:bookmarkStart w:id="528" w:name="_Toc267251494"/>
      <w:bookmarkStart w:id="529" w:name="_Toc267251506"/>
      <w:bookmarkStart w:id="530" w:name="_Toc267251504"/>
      <w:bookmarkStart w:id="531" w:name="_Toc267251507"/>
      <w:bookmarkStart w:id="532" w:name="_Toc267251508"/>
      <w:bookmarkStart w:id="533" w:name="_Toc267251509"/>
      <w:bookmarkStart w:id="534" w:name="_Toc267251511"/>
      <w:bookmarkStart w:id="535" w:name="_Toc267251513"/>
      <w:bookmarkStart w:id="536" w:name="_Toc267251510"/>
      <w:bookmarkStart w:id="537" w:name="_Toc267251515"/>
      <w:bookmarkStart w:id="538" w:name="_Toc267251514"/>
      <w:r>
        <w:rPr>
          <w:rFonts w:hint="eastAsia" w:ascii="宋体" w:hAnsi="宋体" w:eastAsia="宋体" w:cs="宋体"/>
          <w:b/>
          <w:color w:val="000000" w:themeColor="text1"/>
          <w:kern w:val="2"/>
          <w:sz w:val="24"/>
          <w:szCs w:val="24"/>
          <w:highlight w:val="none"/>
          <w:lang w:bidi="ar-SA"/>
          <w14:textFill>
            <w14:solidFill>
              <w14:schemeClr w14:val="tx1"/>
            </w14:solidFill>
          </w14:textFill>
        </w:rPr>
        <w:t>15. 缺陷责任期与保修</w:t>
      </w:r>
      <w:bookmarkEnd w:id="508"/>
    </w:p>
    <w:p w14:paraId="525C562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15.1缺陷责任期</w:t>
      </w:r>
      <w:bookmarkEnd w:id="509"/>
    </w:p>
    <w:p w14:paraId="07897722">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缺陷责任期的具体期限：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24个月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7287BA1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15.2 质量保证金</w:t>
      </w:r>
    </w:p>
    <w:p w14:paraId="747B7AC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关于是否扣留质量保证金的约定：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否</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A7D0940">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15.2.1 承包人提供质量保证金的方式</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w:t>
      </w:r>
    </w:p>
    <w:p w14:paraId="53FABF79">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15.2.2 质量保证金的扣留 </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w:t>
      </w:r>
    </w:p>
    <w:bookmarkEnd w:id="510"/>
    <w:bookmarkEnd w:id="511"/>
    <w:p w14:paraId="3BFB9DA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15.3保修</w:t>
      </w:r>
    </w:p>
    <w:bookmarkEnd w:id="512"/>
    <w:bookmarkEnd w:id="513"/>
    <w:bookmarkEnd w:id="514"/>
    <w:bookmarkEnd w:id="515"/>
    <w:bookmarkEnd w:id="516"/>
    <w:p w14:paraId="03F0A74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u w:val="single"/>
          <w:lang w:bidi="ar-SA"/>
          <w14:textFill>
            <w14:solidFill>
              <w14:schemeClr w14:val="tx1"/>
            </w14:solidFill>
          </w14:textFill>
        </w:rPr>
      </w:pPr>
      <w:bookmarkStart w:id="539" w:name="_Toc280868717"/>
      <w:bookmarkStart w:id="540" w:name="_Toc280868718"/>
      <w:r>
        <w:rPr>
          <w:rFonts w:hint="eastAsia" w:ascii="宋体" w:hAnsi="宋体" w:eastAsia="宋体" w:cs="宋体"/>
          <w:color w:val="000000" w:themeColor="text1"/>
          <w:kern w:val="2"/>
          <w:sz w:val="24"/>
          <w:szCs w:val="24"/>
          <w:highlight w:val="none"/>
          <w:lang w:bidi="ar-SA"/>
          <w14:textFill>
            <w14:solidFill>
              <w14:schemeClr w14:val="tx1"/>
            </w14:solidFill>
          </w14:textFill>
        </w:rPr>
        <w:t>工程保修期为：</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按照工程保修书内容执行</w:t>
      </w:r>
    </w:p>
    <w:p w14:paraId="07DCA87E">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15.3.2 修复通知</w:t>
      </w:r>
    </w:p>
    <w:p w14:paraId="5AB5950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承包人收到保修通知并到达工程现场的合理时间：</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24 小时内</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2180524C">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41" w:name="_Toc469416384"/>
      <w:r>
        <w:rPr>
          <w:rFonts w:hint="eastAsia" w:ascii="宋体" w:hAnsi="宋体" w:eastAsia="宋体" w:cs="宋体"/>
          <w:b/>
          <w:color w:val="000000" w:themeColor="text1"/>
          <w:kern w:val="2"/>
          <w:sz w:val="24"/>
          <w:szCs w:val="24"/>
          <w:highlight w:val="none"/>
          <w:lang w:bidi="ar-SA"/>
          <w14:textFill>
            <w14:solidFill>
              <w14:schemeClr w14:val="tx1"/>
            </w14:solidFill>
          </w14:textFill>
        </w:rPr>
        <w:t>16. 违约</w:t>
      </w:r>
      <w:bookmarkEnd w:id="541"/>
    </w:p>
    <w:p w14:paraId="7F08C88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16.1 发包人违约</w:t>
      </w:r>
    </w:p>
    <w:p w14:paraId="4CF72F36">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16.1.1 </w:t>
      </w: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发包人违约的责任</w:t>
      </w:r>
    </w:p>
    <w:p w14:paraId="328B06C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发包人违约责任的承担方式和计算方法：</w:t>
      </w:r>
    </w:p>
    <w:p w14:paraId="0771418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w:t>
      </w:r>
      <w:r>
        <w:rPr>
          <w:rFonts w:hint="eastAsia" w:ascii="宋体" w:hAnsi="宋体" w:eastAsia="宋体" w:cs="宋体"/>
          <w:color w:val="000000" w:themeColor="text1"/>
          <w:kern w:val="2"/>
          <w:sz w:val="24"/>
          <w:szCs w:val="24"/>
          <w:highlight w:val="none"/>
          <w:lang w:bidi="ar-SA"/>
          <w14:textFill>
            <w14:solidFill>
              <w14:schemeClr w14:val="tx1"/>
            </w14:solidFill>
          </w14:textFill>
        </w:rPr>
        <w:t>因发包人原因造成监理人未能在计划开工日期之日起</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7  </w:t>
      </w:r>
      <w:r>
        <w:rPr>
          <w:rFonts w:hint="eastAsia" w:ascii="宋体" w:hAnsi="宋体" w:eastAsia="宋体" w:cs="宋体"/>
          <w:color w:val="000000" w:themeColor="text1"/>
          <w:kern w:val="2"/>
          <w:sz w:val="24"/>
          <w:szCs w:val="24"/>
          <w:highlight w:val="none"/>
          <w:lang w:bidi="ar-SA"/>
          <w14:textFill>
            <w14:solidFill>
              <w14:schemeClr w14:val="tx1"/>
            </w14:solidFill>
          </w14:textFill>
        </w:rPr>
        <w:t>天内发出开工通知的，承包人有权提出顺延开工日期的要求。</w:t>
      </w:r>
    </w:p>
    <w:p w14:paraId="2E8A861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（2）因发包人原因未能按合同约定支付合同价款的违约责任：</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双方另行确定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14F4FB3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（3）发包人提供的材料、工程设备的规格、数量或质量不符合合同约定，或因发包人原因导致交货日期延误或交货地点变更等情况的违约责任：</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双方另行确定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46DB448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（4）因发包人违反合同约定造成暂停施工的违约责任：</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双方另行确定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63B673D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（5）发包人无正当理由没有在约定期限内发出复工指示，导致承包人无法复工的违约责任：</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双方另行确定</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6AC1BAE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16.1.2因发包人违约解除合同</w:t>
      </w:r>
    </w:p>
    <w:p w14:paraId="5AE3AF95">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承包人按16.1.1项〔发包人违约的情形〕约定暂停施工满</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15</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天后发包人仍不纠正其违约行为并致使合同目的不能实现的，承包人有权解除合同。</w:t>
      </w:r>
    </w:p>
    <w:p w14:paraId="67DAC4B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16.2 承包人违约</w:t>
      </w:r>
    </w:p>
    <w:p w14:paraId="5C86498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16.2.1 承包人违约的情形</w:t>
      </w:r>
    </w:p>
    <w:p w14:paraId="6B7077E4">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（1）承包人违反合同约定进行转包或分包的；</w:t>
      </w:r>
    </w:p>
    <w:p w14:paraId="42B4C004">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承包人违约的其他情形：</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双方另行确定</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0DCE190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16.2.2承包人违约的责任</w:t>
      </w:r>
    </w:p>
    <w:p w14:paraId="7F669CE1">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承包人违约责任的承担方式和计算方法：承包人应承担因其违约行为而增加的费用和（或）延误的工期，给发包人造成损失的，由承包人弥补损失并承担进一步责任。</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089A8A0D">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16.2.3 因承包人违约解除合同</w:t>
      </w:r>
    </w:p>
    <w:p w14:paraId="6FDDDF38">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关于承包人违约解除合同的特别约定：</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双方另行确定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7338C35B">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发包人继续使用承包人在施工现场的材料、设备、临时工程、承包人文件和由承包人或以其名义编制的其他文件的费用承担方式：</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双方另行确定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0BFEABD8">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42" w:name="_Toc469416385"/>
      <w:r>
        <w:rPr>
          <w:rFonts w:hint="eastAsia" w:ascii="宋体" w:hAnsi="宋体" w:eastAsia="宋体" w:cs="宋体"/>
          <w:b/>
          <w:color w:val="000000" w:themeColor="text1"/>
          <w:kern w:val="2"/>
          <w:sz w:val="24"/>
          <w:szCs w:val="24"/>
          <w:highlight w:val="none"/>
          <w:lang w:bidi="ar-SA"/>
          <w14:textFill>
            <w14:solidFill>
              <w14:schemeClr w14:val="tx1"/>
            </w14:solidFill>
          </w14:textFill>
        </w:rPr>
        <w:t>17. 不可抗力</w:t>
      </w:r>
      <w:bookmarkEnd w:id="542"/>
      <w:r>
        <w:rPr>
          <w:rFonts w:hint="eastAsia" w:ascii="宋体" w:hAnsi="宋体" w:eastAsia="宋体" w:cs="宋体"/>
          <w:b/>
          <w:color w:val="000000" w:themeColor="text1"/>
          <w:kern w:val="2"/>
          <w:sz w:val="24"/>
          <w:szCs w:val="24"/>
          <w:highlight w:val="none"/>
          <w:lang w:bidi="ar-SA"/>
          <w14:textFill>
            <w14:solidFill>
              <w14:schemeClr w14:val="tx1"/>
            </w14:solidFill>
          </w14:textFill>
        </w:rPr>
        <w:t xml:space="preserve"> </w:t>
      </w:r>
      <w:bookmarkEnd w:id="539"/>
    </w:p>
    <w:p w14:paraId="0E8DD01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17.1 不可抗力的确认</w:t>
      </w:r>
    </w:p>
    <w:p w14:paraId="7337709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除通用合同条款约定的不可抗力事件之外，视为不可抗力的其他情形： </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无</w:t>
      </w:r>
      <w:r>
        <w:rPr>
          <w:rFonts w:hint="eastAsia" w:ascii="宋体" w:hAnsi="宋体" w:eastAsia="宋体" w:cs="宋体"/>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757F5EB9">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17.2 因不可抗力解除合同</w:t>
      </w:r>
    </w:p>
    <w:p w14:paraId="00E367CF">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合同解除后，双方各自承担自己的损失。</w:t>
      </w:r>
    </w:p>
    <w:p w14:paraId="211A8B35">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43" w:name="_Toc469416386"/>
      <w:r>
        <w:rPr>
          <w:rFonts w:hint="eastAsia" w:ascii="宋体" w:hAnsi="宋体" w:eastAsia="宋体" w:cs="宋体"/>
          <w:b/>
          <w:color w:val="000000" w:themeColor="text1"/>
          <w:kern w:val="2"/>
          <w:sz w:val="24"/>
          <w:szCs w:val="24"/>
          <w:highlight w:val="none"/>
          <w:lang w:bidi="ar-SA"/>
          <w14:textFill>
            <w14:solidFill>
              <w14:schemeClr w14:val="tx1"/>
            </w14:solidFill>
          </w14:textFill>
        </w:rPr>
        <w:t>18. 保险</w:t>
      </w:r>
      <w:bookmarkEnd w:id="543"/>
    </w:p>
    <w:bookmarkEnd w:id="540"/>
    <w:p w14:paraId="0708BD2C">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18.1 工程保险</w:t>
      </w:r>
    </w:p>
    <w:p w14:paraId="1F79656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关于工程保险的特别约定：</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 xml:space="preserve"> 由承包方承担  </w:t>
      </w:r>
      <w:r>
        <w:rPr>
          <w:rFonts w:hint="eastAsia" w:ascii="宋体" w:hAnsi="宋体" w:eastAsia="宋体" w:cs="宋体"/>
          <w:color w:val="000000" w:themeColor="text1"/>
          <w:kern w:val="0"/>
          <w:sz w:val="24"/>
          <w:szCs w:val="24"/>
          <w:highlight w:val="none"/>
          <w:lang w:bidi="ar-SA"/>
          <w14:textFill>
            <w14:solidFill>
              <w14:schemeClr w14:val="tx1"/>
            </w14:solidFill>
          </w14:textFill>
        </w:rPr>
        <w:t>。</w:t>
      </w:r>
    </w:p>
    <w:p w14:paraId="43EA63B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承包人是否应为其施工设备等办理财产保险：</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按照国家相关规定</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36DEE5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18.2 通知义务</w:t>
      </w:r>
    </w:p>
    <w:p w14:paraId="4190A605">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关于变更保险合同时的通知义务的约定：</w:t>
      </w:r>
      <w:r>
        <w:rPr>
          <w:rFonts w:hint="eastAsia" w:ascii="宋体" w:hAnsi="宋体" w:eastAsia="宋体" w:cs="宋体"/>
          <w:color w:val="000000" w:themeColor="text1"/>
          <w:kern w:val="0"/>
          <w:sz w:val="24"/>
          <w:szCs w:val="24"/>
          <w:highlight w:val="none"/>
          <w:u w:val="single"/>
          <w:lang w:bidi="ar-SA"/>
          <w14:textFill>
            <w14:solidFill>
              <w14:schemeClr w14:val="tx1"/>
            </w14:solidFill>
          </w14:textFill>
        </w:rPr>
        <w:t>按照国家相关规定</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5DC47C9A">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44" w:name="_Toc469416387"/>
      <w:r>
        <w:rPr>
          <w:rFonts w:hint="eastAsia" w:ascii="宋体" w:hAnsi="宋体" w:eastAsia="宋体" w:cs="宋体"/>
          <w:b/>
          <w:color w:val="000000" w:themeColor="text1"/>
          <w:kern w:val="2"/>
          <w:sz w:val="24"/>
          <w:szCs w:val="24"/>
          <w:highlight w:val="none"/>
          <w:lang w:bidi="ar-SA"/>
          <w14:textFill>
            <w14:solidFill>
              <w14:schemeClr w14:val="tx1"/>
            </w14:solidFill>
          </w14:textFill>
        </w:rPr>
        <w:t>19. 索赔</w:t>
      </w:r>
      <w:bookmarkEnd w:id="544"/>
    </w:p>
    <w:bookmarkEnd w:id="517"/>
    <w:bookmarkEnd w:id="518"/>
    <w:bookmarkEnd w:id="519"/>
    <w:bookmarkEnd w:id="520"/>
    <w:bookmarkEnd w:id="521"/>
    <w:bookmarkEnd w:id="522"/>
    <w:bookmarkEnd w:id="523"/>
    <w:bookmarkEnd w:id="524"/>
    <w:bookmarkEnd w:id="525"/>
    <w:bookmarkEnd w:id="526"/>
    <w:bookmarkEnd w:id="527"/>
    <w:bookmarkEnd w:id="528"/>
    <w:p w14:paraId="7AFDC0D7">
      <w:pPr>
        <w:keepNext/>
        <w:keepLines/>
        <w:pageBreakBefore w:val="0"/>
        <w:widowControl w:val="0"/>
        <w:kinsoku/>
        <w:wordWrap/>
        <w:overflowPunct/>
        <w:topLinePunct w:val="0"/>
        <w:bidi w:val="0"/>
        <w:adjustRightInd w:val="0"/>
        <w:snapToGrid w:val="0"/>
        <w:spacing w:before="120" w:line="360" w:lineRule="auto"/>
        <w:ind w:firstLine="482" w:firstLineChars="200"/>
        <w:jc w:val="both"/>
        <w:textAlignment w:val="auto"/>
        <w:outlineLvl w:val="3"/>
        <w:rPr>
          <w:rFonts w:ascii="宋体" w:hAnsi="宋体" w:eastAsia="宋体" w:cs="宋体"/>
          <w:b/>
          <w:color w:val="000000" w:themeColor="text1"/>
          <w:kern w:val="2"/>
          <w:sz w:val="24"/>
          <w:szCs w:val="24"/>
          <w:highlight w:val="none"/>
          <w:lang w:bidi="ar-SA"/>
          <w14:textFill>
            <w14:solidFill>
              <w14:schemeClr w14:val="tx1"/>
            </w14:solidFill>
          </w14:textFill>
        </w:rPr>
      </w:pPr>
      <w:bookmarkStart w:id="545" w:name="_Toc469416388"/>
      <w:r>
        <w:rPr>
          <w:rFonts w:hint="eastAsia" w:ascii="宋体" w:hAnsi="宋体" w:eastAsia="宋体" w:cs="宋体"/>
          <w:b/>
          <w:color w:val="000000" w:themeColor="text1"/>
          <w:kern w:val="2"/>
          <w:sz w:val="24"/>
          <w:szCs w:val="24"/>
          <w:highlight w:val="none"/>
          <w:lang w:bidi="ar-SA"/>
          <w14:textFill>
            <w14:solidFill>
              <w14:schemeClr w14:val="tx1"/>
            </w14:solidFill>
          </w14:textFill>
        </w:rPr>
        <w:t>20. 争议解决</w:t>
      </w:r>
      <w:bookmarkEnd w:id="545"/>
    </w:p>
    <w:bookmarkEnd w:id="529"/>
    <w:bookmarkEnd w:id="530"/>
    <w:p w14:paraId="3E888D9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20.1 争</w:t>
      </w:r>
      <w:bookmarkEnd w:id="531"/>
      <w:r>
        <w:rPr>
          <w:rFonts w:hint="eastAsia" w:ascii="宋体" w:hAnsi="宋体" w:eastAsia="宋体" w:cs="宋体"/>
          <w:color w:val="000000" w:themeColor="text1"/>
          <w:kern w:val="2"/>
          <w:sz w:val="24"/>
          <w:szCs w:val="24"/>
          <w:highlight w:val="none"/>
          <w:lang w:bidi="ar-SA"/>
          <w14:textFill>
            <w14:solidFill>
              <w14:schemeClr w14:val="tx1"/>
            </w14:solidFill>
          </w14:textFill>
        </w:rPr>
        <w:t>议评审</w:t>
      </w:r>
    </w:p>
    <w:p w14:paraId="30B99F91">
      <w:pPr>
        <w:pageBreakBefore w:val="0"/>
        <w:widowControl w:val="0"/>
        <w:kinsoku/>
        <w:wordWrap/>
        <w:overflowPunct/>
        <w:topLinePunct w:val="0"/>
        <w:bidi w:val="0"/>
        <w:adjustRightInd w:val="0"/>
        <w:snapToGrid w:val="0"/>
        <w:spacing w:before="120" w:line="360" w:lineRule="auto"/>
        <w:ind w:left="170" w:leftChars="71"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合同当事人是否同意将工程争议提交争议评审小组决定：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不同意</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w:t>
      </w:r>
    </w:p>
    <w:p w14:paraId="75B16A5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20.1.1 争议评审小组的确定</w:t>
      </w:r>
    </w:p>
    <w:p w14:paraId="6DA552A6">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u w:val="singl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争议评审小组成员的确定：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2A9A5293">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选定争议评审员的期限：</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06853EB">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争议评审小组成员的报酬承担方式：</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110251AE">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其他事项的约定：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4D61510E">
      <w:pPr>
        <w:pageBreakBefore w:val="0"/>
        <w:widowControl w:val="0"/>
        <w:kinsoku/>
        <w:wordWrap/>
        <w:overflowPunct/>
        <w:topLinePunct w:val="0"/>
        <w:autoSpaceDE w:val="0"/>
        <w:autoSpaceDN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0"/>
          <w:sz w:val="24"/>
          <w:szCs w:val="24"/>
          <w:highlight w:val="none"/>
          <w:lang w:bidi="ar-SA"/>
          <w14:textFill>
            <w14:solidFill>
              <w14:schemeClr w14:val="tx1"/>
            </w14:solidFill>
          </w14:textFill>
        </w:rPr>
      </w:pPr>
      <w:r>
        <w:rPr>
          <w:rFonts w:hint="eastAsia" w:ascii="宋体" w:hAnsi="宋体" w:eastAsia="宋体" w:cs="宋体"/>
          <w:color w:val="000000" w:themeColor="text1"/>
          <w:kern w:val="0"/>
          <w:sz w:val="24"/>
          <w:szCs w:val="24"/>
          <w:highlight w:val="none"/>
          <w:lang w:bidi="ar-SA"/>
          <w14:textFill>
            <w14:solidFill>
              <w14:schemeClr w14:val="tx1"/>
            </w14:solidFill>
          </w14:textFill>
        </w:rPr>
        <w:t>20.1.2 争议评审小组的决定</w:t>
      </w:r>
    </w:p>
    <w:p w14:paraId="115605A8">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合同当事人关于本项的约定：</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                </w:t>
      </w:r>
      <w:r>
        <w:rPr>
          <w:rFonts w:hint="eastAsia" w:ascii="宋体" w:hAnsi="宋体" w:eastAsia="宋体" w:cs="宋体"/>
          <w:color w:val="000000" w:themeColor="text1"/>
          <w:kern w:val="2"/>
          <w:sz w:val="24"/>
          <w:szCs w:val="24"/>
          <w:highlight w:val="none"/>
          <w:lang w:bidi="ar-SA"/>
          <w14:textFill>
            <w14:solidFill>
              <w14:schemeClr w14:val="tx1"/>
            </w14:solidFill>
          </w14:textFill>
        </w:rPr>
        <w:t>。</w:t>
      </w:r>
    </w:p>
    <w:p w14:paraId="01255784">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20.2仲裁或诉讼</w:t>
      </w:r>
      <w:bookmarkEnd w:id="532"/>
    </w:p>
    <w:p w14:paraId="7FBAEED3">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因合同及合同有关事项发生的争议，向</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签约地 </w:t>
      </w:r>
      <w:r>
        <w:rPr>
          <w:rFonts w:hint="eastAsia" w:ascii="宋体" w:hAnsi="宋体" w:eastAsia="宋体" w:cs="宋体"/>
          <w:color w:val="000000" w:themeColor="text1"/>
          <w:kern w:val="2"/>
          <w:sz w:val="24"/>
          <w:szCs w:val="24"/>
          <w:highlight w:val="none"/>
          <w:lang w:bidi="ar-SA"/>
          <w14:textFill>
            <w14:solidFill>
              <w14:schemeClr w14:val="tx1"/>
            </w14:solidFill>
          </w14:textFill>
        </w:rPr>
        <w:t>人民法院起诉的方式解决。</w:t>
      </w:r>
    </w:p>
    <w:bookmarkEnd w:id="533"/>
    <w:bookmarkEnd w:id="534"/>
    <w:bookmarkEnd w:id="535"/>
    <w:bookmarkEnd w:id="536"/>
    <w:bookmarkEnd w:id="537"/>
    <w:bookmarkEnd w:id="538"/>
    <w:p w14:paraId="50E4C7F9">
      <w:pPr>
        <w:pageBreakBefore w:val="0"/>
        <w:widowControl w:val="0"/>
        <w:kinsoku/>
        <w:wordWrap/>
        <w:overflowPunct/>
        <w:topLinePunct w:val="0"/>
        <w:bidi w:val="0"/>
        <w:adjustRightInd w:val="0"/>
        <w:snapToGrid w:val="0"/>
        <w:spacing w:before="120" w:line="360" w:lineRule="auto"/>
        <w:ind w:firstLine="482" w:firstLineChars="200"/>
        <w:jc w:val="both"/>
        <w:textAlignment w:val="auto"/>
        <w:rPr>
          <w:rFonts w:ascii="宋体" w:hAnsi="宋体" w:eastAsia="宋体" w:cs="宋体"/>
          <w:b/>
          <w:bCs/>
          <w:color w:val="000000" w:themeColor="text1"/>
          <w:kern w:val="2"/>
          <w:sz w:val="24"/>
          <w:szCs w:val="24"/>
          <w:highlight w:val="none"/>
          <w:lang w:bidi="ar-SA"/>
          <w14:textFill>
            <w14:solidFill>
              <w14:schemeClr w14:val="tx1"/>
            </w14:solidFill>
          </w14:textFill>
        </w:rPr>
      </w:pPr>
      <w:r>
        <w:rPr>
          <w:rFonts w:hint="eastAsia" w:ascii="宋体" w:hAnsi="宋体" w:eastAsia="宋体" w:cs="宋体"/>
          <w:b/>
          <w:bCs/>
          <w:color w:val="000000" w:themeColor="text1"/>
          <w:kern w:val="2"/>
          <w:sz w:val="24"/>
          <w:szCs w:val="24"/>
          <w:highlight w:val="none"/>
          <w:lang w:bidi="ar-SA"/>
          <w14:textFill>
            <w14:solidFill>
              <w14:schemeClr w14:val="tx1"/>
            </w14:solidFill>
          </w14:textFill>
        </w:rPr>
        <w:t>21、补充条款</w:t>
      </w:r>
    </w:p>
    <w:p w14:paraId="123351CF">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21.1监理工程师受发包人委托，在所规定的职责范围内对工程实施监理，包括检查、签证、发出通知、指令等，承包方必须服从、接受并配合监理工程师的工作。</w:t>
      </w:r>
    </w:p>
    <w:p w14:paraId="6957FE08">
      <w:pPr>
        <w:pageBreakBefore w:val="0"/>
        <w:widowControl w:val="0"/>
        <w:numPr>
          <w:ilvl w:val="0"/>
          <w:numId w:val="1"/>
        </w:numPr>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2承包人必须严格执行安全管理规定，落实安全管理制度及措施，消除安全隐患，做好施工期间的安全管理工作，承担全部安全责任和义务。</w:t>
      </w:r>
    </w:p>
    <w:p w14:paraId="63BB555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21.3承包人按规定做好文明施工工作，必须达到文明工地标准和创卫标准。严格按文明工地和创卫标准施工，设立专用、分类垃圾场（箱），不得任意堆放或乱倒垃圾，定期将垃圾清理外运。</w:t>
      </w:r>
    </w:p>
    <w:p w14:paraId="1473271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21.4 承包人应当确保农民工工资的按时、足额发放。否则发包人将在工程款中扣除并代发。</w:t>
      </w:r>
    </w:p>
    <w:p w14:paraId="2FFE5677">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21.5施工过程中，资料和工程进度必须同步。每月发包人管理人员对施工进度和资料进行检查，出现问题限期整改，若未整改每次罚款</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2000</w:t>
      </w:r>
      <w:r>
        <w:rPr>
          <w:rFonts w:hint="eastAsia" w:ascii="宋体" w:hAnsi="宋体" w:eastAsia="宋体" w:cs="宋体"/>
          <w:color w:val="000000" w:themeColor="text1"/>
          <w:kern w:val="2"/>
          <w:sz w:val="24"/>
          <w:szCs w:val="24"/>
          <w:highlight w:val="none"/>
          <w:lang w:bidi="ar-SA"/>
          <w14:textFill>
            <w14:solidFill>
              <w14:schemeClr w14:val="tx1"/>
            </w14:solidFill>
          </w14:textFill>
        </w:rPr>
        <w:t>元人民币。</w:t>
      </w:r>
    </w:p>
    <w:p w14:paraId="64AABFCA">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73D4395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21.7承包人现场用电必须按照发包人要求，三相五线制，一机一闸必须带漏电保护，不许私用电炉。如施工现场出现漏电或短路跳闸，造成停电、影响到发包人用电的，每次罚款</w:t>
      </w:r>
      <w:r>
        <w:rPr>
          <w:rFonts w:hint="eastAsia" w:ascii="宋体" w:hAnsi="宋体" w:eastAsia="宋体" w:cs="宋体"/>
          <w:color w:val="000000" w:themeColor="text1"/>
          <w:kern w:val="2"/>
          <w:sz w:val="24"/>
          <w:szCs w:val="24"/>
          <w:highlight w:val="none"/>
          <w:u w:val="single"/>
          <w:lang w:bidi="ar-SA"/>
          <w14:textFill>
            <w14:solidFill>
              <w14:schemeClr w14:val="tx1"/>
            </w14:solidFill>
          </w14:textFill>
        </w:rPr>
        <w:t xml:space="preserve"> 2000</w:t>
      </w:r>
      <w:r>
        <w:rPr>
          <w:rFonts w:hint="eastAsia" w:ascii="宋体" w:hAnsi="宋体" w:eastAsia="宋体" w:cs="宋体"/>
          <w:color w:val="000000" w:themeColor="text1"/>
          <w:kern w:val="2"/>
          <w:sz w:val="24"/>
          <w:szCs w:val="24"/>
          <w:highlight w:val="none"/>
          <w:lang w:bidi="ar-SA"/>
          <w14:textFill>
            <w14:solidFill>
              <w14:schemeClr w14:val="tx1"/>
            </w14:solidFill>
          </w14:textFill>
        </w:rPr>
        <w:t>元。</w:t>
      </w:r>
    </w:p>
    <w:p w14:paraId="34718B6E">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8</w:t>
      </w:r>
      <w:r>
        <w:rPr>
          <w:rFonts w:hint="eastAsia" w:ascii="宋体" w:hAnsi="宋体" w:eastAsia="宋体" w:cs="宋体"/>
          <w:color w:val="000000" w:themeColor="text1"/>
          <w:kern w:val="2"/>
          <w:sz w:val="24"/>
          <w:szCs w:val="24"/>
          <w:highlight w:val="none"/>
          <w:lang w:bidi="ar-SA"/>
          <w14:textFill>
            <w14:solidFill>
              <w14:schemeClr w14:val="tx1"/>
            </w14:solidFill>
          </w14:textFill>
        </w:rPr>
        <w:t>在工程竣工验收前，承包人要将工程资料送监理人、质监站验收，验收合格后，方可申请工程竣工验收。</w:t>
      </w:r>
    </w:p>
    <w:p w14:paraId="6EF0EF2D">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8</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承包人严格遵守招标人单位的有关规章制度，按招标人要求做好保密工作。</w:t>
      </w:r>
    </w:p>
    <w:p w14:paraId="05173D80">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9</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38A898A1">
      <w:pPr>
        <w:pageBreakBefore w:val="0"/>
        <w:widowControl w:val="0"/>
        <w:kinsoku/>
        <w:wordWrap/>
        <w:overflowPunct/>
        <w:topLinePunct w:val="0"/>
        <w:bidi w:val="0"/>
        <w:adjustRightInd w:val="0"/>
        <w:snapToGrid w:val="0"/>
        <w:spacing w:before="120" w:line="360" w:lineRule="auto"/>
        <w:ind w:firstLine="480" w:firstLineChars="200"/>
        <w:jc w:val="both"/>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21.</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10</w:t>
      </w:r>
      <w:r>
        <w:rPr>
          <w:rFonts w:hint="eastAsia" w:ascii="宋体" w:hAnsi="宋体" w:eastAsia="宋体" w:cs="宋体"/>
          <w:color w:val="000000" w:themeColor="text1"/>
          <w:kern w:val="2"/>
          <w:sz w:val="24"/>
          <w:szCs w:val="24"/>
          <w:highlight w:val="none"/>
          <w:lang w:bidi="ar-SA"/>
          <w14:textFill>
            <w14:solidFill>
              <w14:schemeClr w14:val="tx1"/>
            </w14:solidFill>
          </w14:textFill>
        </w:rPr>
        <w:t xml:space="preserve"> 为了保证工程质量、施工安全及监管安全，原则上承包方不得使用罪犯进行施工，避免民工与罪犯混岗作业，特别是涉及工程质量的防水、安装工程，涉及施工安全的高空作业工程。</w:t>
      </w:r>
    </w:p>
    <w:p w14:paraId="19629AE7">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hint="eastAsia" w:ascii="宋体" w:hAnsi="宋体" w:eastAsia="宋体" w:cs="宋体"/>
          <w:color w:val="000000" w:themeColor="text1"/>
          <w:kern w:val="2"/>
          <w:sz w:val="24"/>
          <w:szCs w:val="24"/>
          <w:highlight w:val="none"/>
          <w:lang w:bidi="ar-SA"/>
          <w14:textFill>
            <w14:solidFill>
              <w14:schemeClr w14:val="tx1"/>
            </w14:solidFill>
          </w14:textFill>
        </w:rPr>
      </w:pPr>
    </w:p>
    <w:p w14:paraId="5218F81A">
      <w:pPr>
        <w:pageBreakBefore w:val="0"/>
        <w:widowControl w:val="0"/>
        <w:kinsoku/>
        <w:wordWrap/>
        <w:overflowPunct/>
        <w:topLinePunct w:val="0"/>
        <w:bidi w:val="0"/>
        <w:adjustRightInd w:val="0"/>
        <w:snapToGrid w:val="0"/>
        <w:spacing w:before="120" w:line="360" w:lineRule="auto"/>
        <w:ind w:firstLine="480" w:firstLineChars="200"/>
        <w:jc w:val="left"/>
        <w:textAlignment w:val="auto"/>
        <w:rPr>
          <w:rFonts w:ascii="宋体" w:hAnsi="宋体" w:eastAsia="宋体" w:cs="宋体"/>
          <w:color w:val="000000" w:themeColor="text1"/>
          <w:kern w:val="2"/>
          <w:sz w:val="24"/>
          <w:szCs w:val="24"/>
          <w:highlight w:val="none"/>
          <w:lang w:bidi="ar-SA"/>
          <w14:textFill>
            <w14:solidFill>
              <w14:schemeClr w14:val="tx1"/>
            </w14:solidFill>
          </w14:textFill>
        </w:rPr>
      </w:pPr>
      <w:r>
        <w:rPr>
          <w:rFonts w:hint="eastAsia" w:ascii="宋体" w:hAnsi="宋体" w:eastAsia="宋体" w:cs="宋体"/>
          <w:color w:val="000000" w:themeColor="text1"/>
          <w:kern w:val="2"/>
          <w:sz w:val="24"/>
          <w:szCs w:val="24"/>
          <w:highlight w:val="none"/>
          <w:lang w:bidi="ar-SA"/>
          <w14:textFill>
            <w14:solidFill>
              <w14:schemeClr w14:val="tx1"/>
            </w14:solidFill>
          </w14:textFill>
        </w:rPr>
        <w:t>协议书附件：工程质量保修书</w:t>
      </w:r>
    </w:p>
    <w:p w14:paraId="6F090438">
      <w:pPr>
        <w:pageBreakBefore w:val="0"/>
        <w:kinsoku/>
        <w:wordWrap/>
        <w:overflowPunct/>
        <w:topLinePunct w:val="0"/>
        <w:bidi w:val="0"/>
        <w:spacing w:line="360" w:lineRule="auto"/>
        <w:jc w:val="left"/>
        <w:textAlignment w:val="auto"/>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2"/>
          <w:highlight w:val="none"/>
          <w:lang w:bidi="ar-SA"/>
          <w14:textFill>
            <w14:solidFill>
              <w14:schemeClr w14:val="tx1"/>
            </w14:solidFill>
          </w14:textFill>
        </w:rPr>
        <w:br w:type="page"/>
      </w:r>
      <w:r>
        <w:rPr>
          <w:rFonts w:hint="eastAsia" w:ascii="宋体" w:hAnsi="宋体" w:eastAsia="宋体" w:cs="宋体"/>
          <w:b/>
          <w:color w:val="000000" w:themeColor="text1"/>
          <w:sz w:val="24"/>
          <w:szCs w:val="24"/>
          <w:highlight w:val="none"/>
          <w:lang w:bidi="ar"/>
          <w14:textFill>
            <w14:solidFill>
              <w14:schemeClr w14:val="tx1"/>
            </w14:solidFill>
          </w14:textFill>
        </w:rPr>
        <w:t xml:space="preserve"> </w:t>
      </w:r>
      <w:r>
        <w:rPr>
          <w:rFonts w:hint="eastAsia" w:ascii="宋体" w:hAnsi="宋体" w:cs="宋体"/>
          <w:b/>
          <w:bCs/>
          <w:color w:val="000000" w:themeColor="text1"/>
          <w:sz w:val="24"/>
          <w:szCs w:val="24"/>
          <w:highlight w:val="none"/>
          <w14:textFill>
            <w14:solidFill>
              <w14:schemeClr w14:val="tx1"/>
            </w14:solidFill>
          </w14:textFill>
        </w:rPr>
        <w:t>附</w:t>
      </w:r>
      <w:bookmarkStart w:id="546" w:name="_Toc296944565"/>
      <w:bookmarkStart w:id="547" w:name="_Toc296891054"/>
      <w:bookmarkStart w:id="548" w:name="_Toc267261693"/>
      <w:bookmarkStart w:id="549" w:name="_Toc296346727"/>
      <w:bookmarkStart w:id="550" w:name="_Toc296347225"/>
      <w:bookmarkStart w:id="551" w:name="_Toc296891266"/>
      <w:bookmarkStart w:id="552" w:name="_Toc296503226"/>
      <w:r>
        <w:rPr>
          <w:rFonts w:hint="eastAsia" w:ascii="宋体" w:hAnsi="宋体" w:cs="宋体"/>
          <w:b/>
          <w:bCs/>
          <w:color w:val="000000" w:themeColor="text1"/>
          <w:sz w:val="24"/>
          <w:szCs w:val="24"/>
          <w:highlight w:val="none"/>
          <w14:textFill>
            <w14:solidFill>
              <w14:schemeClr w14:val="tx1"/>
            </w14:solidFill>
          </w14:textFill>
        </w:rPr>
        <w:t>件1：</w:t>
      </w:r>
      <w:bookmarkEnd w:id="546"/>
      <w:bookmarkEnd w:id="547"/>
      <w:bookmarkEnd w:id="548"/>
      <w:bookmarkEnd w:id="549"/>
      <w:bookmarkEnd w:id="550"/>
      <w:bookmarkEnd w:id="551"/>
      <w:bookmarkEnd w:id="552"/>
      <w:r>
        <w:rPr>
          <w:rFonts w:hint="eastAsia" w:ascii="宋体" w:hAnsi="宋体" w:cs="宋体"/>
          <w:b/>
          <w:bCs/>
          <w:color w:val="000000" w:themeColor="text1"/>
          <w:sz w:val="24"/>
          <w:szCs w:val="24"/>
          <w:highlight w:val="none"/>
          <w14:textFill>
            <w14:solidFill>
              <w14:schemeClr w14:val="tx1"/>
            </w14:solidFill>
          </w14:textFill>
        </w:rPr>
        <w:t xml:space="preserve">工程质量保修书   </w:t>
      </w:r>
    </w:p>
    <w:p w14:paraId="46D58AED">
      <w:pPr>
        <w:pStyle w:val="3"/>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工程质量保修书</w:t>
      </w:r>
    </w:p>
    <w:p w14:paraId="7D62A8F3">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发包人(全称)： _____________________________________</w:t>
      </w:r>
    </w:p>
    <w:p w14:paraId="7DF02D2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承包人(全称)： ______________________________________</w:t>
      </w:r>
    </w:p>
    <w:p w14:paraId="246D71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为保证____________________（工程名称）在合理使用期限内正常使用，发包人、承包人协商一致签订工程质量保修书。承包人在质量保修期内按照有关管理规定及双方约定承担工程质量保修责任。</w:t>
      </w:r>
    </w:p>
    <w:p w14:paraId="6C7A7CD1">
      <w:pPr>
        <w:pStyle w:val="7"/>
        <w:keepNext w:val="0"/>
        <w:keepLines w:val="0"/>
        <w:pageBreakBefore w:val="0"/>
        <w:widowControl/>
        <w:kinsoku/>
        <w:wordWrap/>
        <w:overflowPunct/>
        <w:topLinePunct w:val="0"/>
        <w:autoSpaceDE/>
        <w:autoSpaceDN/>
        <w:bidi w:val="0"/>
        <w:adjustRightInd w:val="0"/>
        <w:snapToGrid w:val="0"/>
        <w:spacing w:line="360" w:lineRule="auto"/>
        <w:ind w:left="480" w:firstLine="0" w:firstLineChars="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一、工程质量保修范围和内容 </w:t>
      </w:r>
    </w:p>
    <w:p w14:paraId="4D63CB0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00" w:themeColor="text1"/>
          <w:kern w:val="0"/>
          <w:sz w:val="24"/>
          <w:szCs w:val="24"/>
          <w:highlight w:val="none"/>
          <w:u w:val="single"/>
          <w:lang w:val="en-US" w:eastAsia="zh-CN"/>
          <w14:textFill>
            <w14:solidFill>
              <w14:schemeClr w14:val="tx1"/>
            </w14:solidFill>
          </w14:textFill>
        </w:rPr>
      </w:pPr>
      <w:r>
        <w:rPr>
          <w:rFonts w:hint="eastAsia" w:ascii="宋体" w:hAnsi="宋体" w:cs="宋体"/>
          <w:color w:val="000000" w:themeColor="text1"/>
          <w:kern w:val="0"/>
          <w:sz w:val="24"/>
          <w:szCs w:val="24"/>
          <w:highlight w:val="none"/>
          <w:u w:val="single"/>
          <w:lang w:val="en-US" w:eastAsia="zh-CN"/>
          <w14:textFill>
            <w14:solidFill>
              <w14:schemeClr w14:val="tx1"/>
            </w14:solidFill>
          </w14:textFill>
        </w:rPr>
        <w:t xml:space="preserve">                                                                  </w:t>
      </w:r>
    </w:p>
    <w:p w14:paraId="05B593C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二、质量保修期</w:t>
      </w:r>
    </w:p>
    <w:p w14:paraId="101361A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质量保修期自工程竣工验收合格之日起计算。分单项竣工验收的工程，按单项工程分别计算质量保修期。 </w:t>
      </w:r>
    </w:p>
    <w:p w14:paraId="669831D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双方根据《建设工程质量管理条例》及国家有关规定，结合具体工程约定质量保修期如下： </w:t>
      </w:r>
    </w:p>
    <w:p w14:paraId="132AD79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本项目质保期</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为竣工验收合格后</w:t>
      </w:r>
      <w:r>
        <w:rPr>
          <w:rFonts w:hint="eastAsia" w:ascii="宋体" w:hAnsi="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年</w:t>
      </w:r>
    </w:p>
    <w:p w14:paraId="37F1CFC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三、质量保修责任</w:t>
      </w:r>
    </w:p>
    <w:p w14:paraId="1731A1C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1、属于保修范围和内容的项目，承包人应在接到修理通知之日后7天内派人修理。承包人不在约定期限内派人修理，发包人可委托其他人员修理，保修费用从质量保修金内扣除。 </w:t>
      </w:r>
    </w:p>
    <w:p w14:paraId="3D0A0F0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2、发生须紧急抢修事故（</w:t>
      </w:r>
      <w:r>
        <w:rPr>
          <w:rFonts w:hint="eastAsia" w:ascii="宋体" w:hAnsi="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），承包人接到事故通知后，应立即到达事故现场抢修。非承包人施工质量引起的事故，抢修费用由发包人承担。</w:t>
      </w:r>
    </w:p>
    <w:p w14:paraId="75C737D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3、在国家规定的工程合理使用期限内，承包人确保地基基础工程和主体结构的质量。因承包人原因致使工程在合理使用期限内造成人身和财产损害的，承包人应承担损害赔偿责任。 </w:t>
      </w:r>
    </w:p>
    <w:p w14:paraId="03017CE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四、质量保修金的支付</w:t>
      </w:r>
    </w:p>
    <w:p w14:paraId="0C823B4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本工程约定的工程质量保修金为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履约保证金（合同金额的3%）。</w:t>
      </w: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p w14:paraId="6AE0D3F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五、质量保修金的返还</w:t>
      </w:r>
    </w:p>
    <w:p w14:paraId="772D8A4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项目验收合格后且质保期满，无任何质量问题、不存在争议，完成楼宇的消防整改工作，并协助学校取得住建部门建设工程消防评估论证意见函，一次性无息退还至中标供应商账户</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p w14:paraId="18061AE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六、其他 </w:t>
      </w:r>
    </w:p>
    <w:p w14:paraId="06BB312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双方约定的其他工程质量保修事项：</w:t>
      </w:r>
      <w:r>
        <w:rPr>
          <w:rFonts w:hint="eastAsia" w:ascii="宋体" w:hAnsi="宋体" w:cs="宋体"/>
          <w:color w:val="000000" w:themeColor="text1"/>
          <w:sz w:val="24"/>
          <w:highlight w:val="none"/>
          <w:u w:val="single"/>
          <w:lang w:val="en-US" w:eastAsia="zh-CN"/>
          <w14:textFill>
            <w14:solidFill>
              <w14:schemeClr w14:val="tx1"/>
            </w14:solidFill>
          </w14:textFill>
        </w:rPr>
        <w:t>承包人若在</w:t>
      </w:r>
      <w:r>
        <w:rPr>
          <w:rFonts w:hint="eastAsia" w:ascii="宋体" w:hAnsi="宋体" w:cs="宋体"/>
          <w:b/>
          <w:color w:val="000000" w:themeColor="text1"/>
          <w:szCs w:val="24"/>
          <w:highlight w:val="none"/>
          <w:u w:val="single"/>
          <w:lang w:val="en-US" w:eastAsia="zh-CN"/>
          <w14:textFill>
            <w14:solidFill>
              <w14:schemeClr w14:val="tx1"/>
            </w14:solidFill>
          </w14:textFill>
        </w:rPr>
        <w:t>保修期内不能按照承诺提供24小时内的紧急维修服务，发包人有权委托第三方公司维修，维修费用由发包人在履约保证金中扣除。</w:t>
      </w:r>
      <w:r>
        <w:rPr>
          <w:rFonts w:hint="eastAsia" w:ascii="宋体" w:hAnsi="宋体" w:eastAsia="宋体" w:cs="宋体"/>
          <w:color w:val="000000" w:themeColor="text1"/>
          <w:kern w:val="0"/>
          <w:sz w:val="24"/>
          <w:szCs w:val="24"/>
          <w:highlight w:val="none"/>
          <w14:textFill>
            <w14:solidFill>
              <w14:schemeClr w14:val="tx1"/>
            </w14:solidFill>
          </w14:textFill>
        </w:rPr>
        <w:t>本工程质量保修作书为施工合同的附件，由施工合同发包人、承包人双方共同签订。</w:t>
      </w:r>
    </w:p>
    <w:p w14:paraId="29E3EA6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p w14:paraId="2FBC627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p w14:paraId="4B329BD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发 包 人（公章）：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承 包 人（公章）：________________</w:t>
      </w:r>
    </w:p>
    <w:p w14:paraId="29F01A7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p w14:paraId="2E42533A">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法定代表人（盖章）：________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法定代表人（盖章）：______________</w:t>
      </w:r>
    </w:p>
    <w:p w14:paraId="05166BF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highlight w:val="none"/>
          <w14:textFill>
            <w14:solidFill>
              <w14:schemeClr w14:val="tx1"/>
            </w14:solidFill>
          </w14:textFill>
        </w:rPr>
      </w:pPr>
    </w:p>
    <w:p w14:paraId="2C4A2A90">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_____年_____月_____日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_____ 年_____月_____日</w:t>
      </w:r>
    </w:p>
    <w:p w14:paraId="36495C80">
      <w:pPr>
        <w:pageBreakBefore w:val="0"/>
        <w:kinsoku/>
        <w:wordWrap/>
        <w:overflowPunct/>
        <w:topLinePunct w:val="0"/>
        <w:bidi w:val="0"/>
        <w:spacing w:line="360" w:lineRule="auto"/>
        <w:ind w:firstLine="420"/>
        <w:textAlignment w:val="auto"/>
        <w:rPr>
          <w:rFonts w:ascii="宋体" w:hAnsi="宋体"/>
          <w:color w:val="000000" w:themeColor="text1"/>
          <w:szCs w:val="21"/>
          <w:highlight w:val="none"/>
          <w14:textFill>
            <w14:solidFill>
              <w14:schemeClr w14:val="tx1"/>
            </w14:solidFill>
          </w14:textFill>
        </w:rPr>
      </w:pPr>
    </w:p>
    <w:p w14:paraId="23D22346">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194052A9">
      <w:pPr>
        <w:pStyle w:val="3"/>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3F0F1738">
      <w:pPr>
        <w:pageBreakBefore w:val="0"/>
        <w:kinsoku/>
        <w:wordWrap/>
        <w:overflowPunct/>
        <w:topLinePunct w:val="0"/>
        <w:bidi w:val="0"/>
        <w:spacing w:line="360" w:lineRule="auto"/>
        <w:textAlignment w:val="auto"/>
        <w:rPr>
          <w:rFonts w:hint="eastAsia"/>
          <w:color w:val="000000" w:themeColor="text1"/>
          <w:highlight w:val="none"/>
          <w14:textFill>
            <w14:solidFill>
              <w14:schemeClr w14:val="tx1"/>
            </w14:solidFill>
          </w14:textFill>
        </w:rPr>
      </w:pPr>
    </w:p>
    <w:p w14:paraId="7A639B92">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4B374B5C">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0CB19F50">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479D0268">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50377D4E">
      <w:pPr>
        <w:pStyle w:val="3"/>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4F9224D5">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18F874B7">
      <w:pPr>
        <w:pStyle w:val="3"/>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p>
    <w:p w14:paraId="23EFCC8F">
      <w:pPr>
        <w:pageBreakBefore w:val="0"/>
        <w:kinsoku/>
        <w:wordWrap/>
        <w:overflowPunct/>
        <w:topLinePunct w:val="0"/>
        <w:bidi w:val="0"/>
        <w:spacing w:line="360" w:lineRule="auto"/>
        <w:textAlignment w:val="auto"/>
        <w:rPr>
          <w:rFonts w:hint="eastAsia"/>
          <w:color w:val="000000" w:themeColor="text1"/>
          <w:highlight w:val="none"/>
          <w14:textFill>
            <w14:solidFill>
              <w14:schemeClr w14:val="tx1"/>
            </w14:solidFill>
          </w14:textFill>
        </w:rPr>
      </w:pPr>
    </w:p>
    <w:p w14:paraId="2A1ED640">
      <w:pPr>
        <w:pageBreakBefore w:val="0"/>
        <w:kinsoku/>
        <w:wordWrap/>
        <w:overflowPunct/>
        <w:topLinePunct w:val="0"/>
        <w:bidi w:val="0"/>
        <w:spacing w:line="360" w:lineRule="auto"/>
        <w:textAlignment w:val="auto"/>
        <w:rPr>
          <w:rFonts w:hint="eastAsia"/>
          <w:color w:val="000000" w:themeColor="text1"/>
          <w:highlight w:val="none"/>
          <w14:textFill>
            <w14:solidFill>
              <w14:schemeClr w14:val="tx1"/>
            </w14:solidFill>
          </w14:textFill>
        </w:rPr>
      </w:pPr>
    </w:p>
    <w:p w14:paraId="5DA634BE">
      <w:pPr>
        <w:pageBreakBefore w:val="0"/>
        <w:kinsoku/>
        <w:wordWrap/>
        <w:overflowPunct/>
        <w:topLinePunct w:val="0"/>
        <w:bidi w:val="0"/>
        <w:spacing w:line="360" w:lineRule="auto"/>
        <w:textAlignment w:val="auto"/>
        <w:rPr>
          <w:rFonts w:hint="eastAsia"/>
          <w:color w:val="000000" w:themeColor="text1"/>
          <w:highlight w:val="none"/>
          <w14:textFill>
            <w14:solidFill>
              <w14:schemeClr w14:val="tx1"/>
            </w14:solidFill>
          </w14:textFill>
        </w:rPr>
      </w:pPr>
    </w:p>
    <w:p w14:paraId="4138B291">
      <w:pPr>
        <w:pageBreakBefore w:val="0"/>
        <w:kinsoku/>
        <w:wordWrap/>
        <w:overflowPunct/>
        <w:topLinePunct w:val="0"/>
        <w:bidi w:val="0"/>
        <w:spacing w:line="360" w:lineRule="auto"/>
        <w:textAlignment w:val="auto"/>
        <w:rPr>
          <w:rFonts w:hint="eastAsia"/>
          <w:color w:val="000000" w:themeColor="text1"/>
          <w:highlight w:val="none"/>
          <w14:textFill>
            <w14:solidFill>
              <w14:schemeClr w14:val="tx1"/>
            </w14:solidFill>
          </w14:textFill>
        </w:rPr>
      </w:pPr>
    </w:p>
    <w:p w14:paraId="411B7936">
      <w:pPr>
        <w:pageBreakBefore w:val="0"/>
        <w:kinsoku/>
        <w:wordWrap/>
        <w:overflowPunct/>
        <w:topLinePunct w:val="0"/>
        <w:bidi w:val="0"/>
        <w:spacing w:line="360" w:lineRule="auto"/>
        <w:textAlignment w:val="auto"/>
        <w:rPr>
          <w:rFonts w:hint="eastAsia"/>
          <w:color w:val="000000" w:themeColor="text1"/>
          <w:highlight w:val="none"/>
          <w14:textFill>
            <w14:solidFill>
              <w14:schemeClr w14:val="tx1"/>
            </w14:solidFill>
          </w14:textFill>
        </w:rPr>
      </w:pPr>
    </w:p>
    <w:p w14:paraId="6583DAD0">
      <w:pPr>
        <w:keepNext w:val="0"/>
        <w:keepLines w:val="0"/>
        <w:pageBreakBefore w:val="0"/>
        <w:widowControl w:val="0"/>
        <w:kinsoku/>
        <w:wordWrap/>
        <w:overflowPunct/>
        <w:topLinePunct w:val="0"/>
        <w:autoSpaceDN/>
        <w:bidi w:val="0"/>
        <w:adjustRightInd/>
        <w:snapToGrid/>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bookmarkStart w:id="553" w:name="_GoBack"/>
      <w:bookmarkEnd w:id="553"/>
      <w:r>
        <w:rPr>
          <w:rFonts w:hint="eastAsia" w:ascii="宋体" w:hAnsi="宋体" w:eastAsia="宋体" w:cs="宋体"/>
          <w:b/>
          <w:color w:val="000000" w:themeColor="text1"/>
          <w:sz w:val="24"/>
          <w:szCs w:val="24"/>
          <w:highlight w:val="none"/>
          <w:lang w:bidi="ar"/>
          <w14:textFill>
            <w14:solidFill>
              <w14:schemeClr w14:val="tx1"/>
            </w14:solidFill>
          </w14:textFill>
        </w:rPr>
        <w:t>附件</w:t>
      </w:r>
      <w:r>
        <w:rPr>
          <w:rFonts w:hint="eastAsia" w:ascii="宋体" w:hAnsi="宋体" w:cs="宋体"/>
          <w:b/>
          <w:color w:val="000000" w:themeColor="text1"/>
          <w:sz w:val="24"/>
          <w:szCs w:val="24"/>
          <w:highlight w:val="none"/>
          <w:lang w:val="en-US" w:eastAsia="zh-CN" w:bidi="ar"/>
          <w14:textFill>
            <w14:solidFill>
              <w14:schemeClr w14:val="tx1"/>
            </w14:solidFill>
          </w14:textFill>
        </w:rPr>
        <w:t>2</w:t>
      </w:r>
      <w:r>
        <w:rPr>
          <w:rFonts w:hint="eastAsia" w:ascii="宋体" w:hAnsi="宋体" w:eastAsia="宋体" w:cs="宋体"/>
          <w:b/>
          <w:color w:val="000000" w:themeColor="text1"/>
          <w:sz w:val="24"/>
          <w:szCs w:val="24"/>
          <w:highlight w:val="none"/>
          <w:lang w:bidi="ar"/>
          <w14:textFill>
            <w14:solidFill>
              <w14:schemeClr w14:val="tx1"/>
            </w14:solidFill>
          </w14:textFill>
        </w:rPr>
        <w:t>安全生产协议书</w:t>
      </w:r>
    </w:p>
    <w:p w14:paraId="11251C95">
      <w:pPr>
        <w:keepNext w:val="0"/>
        <w:keepLines w:val="0"/>
        <w:pageBreakBefore w:val="0"/>
        <w:widowControl w:val="0"/>
        <w:kinsoku/>
        <w:wordWrap/>
        <w:overflowPunct/>
        <w:topLinePunct w:val="0"/>
        <w:autoSpaceDN/>
        <w:bidi w:val="0"/>
        <w:adjustRightInd/>
        <w:snapToGrid/>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为在合同的实施过程中创造安全、高效的施工环境。切实搞好本项目的安全管理工作。本项目甲方</w:t>
      </w:r>
      <w:r>
        <w:rPr>
          <w:rFonts w:hint="eastAsia" w:ascii="宋体" w:hAnsi="宋体" w:eastAsia="宋体" w:cs="宋体"/>
          <w:color w:val="000000" w:themeColor="text1"/>
          <w:sz w:val="24"/>
          <w:szCs w:val="24"/>
          <w:highlight w:val="none"/>
          <w:u w:val="single"/>
          <w:lang w:bidi="ar"/>
          <w14:textFill>
            <w14:solidFill>
              <w14:schemeClr w14:val="tx1"/>
            </w14:solidFill>
          </w14:textFill>
        </w:rPr>
        <w:t xml:space="preserve">                </w:t>
      </w:r>
      <w:r>
        <w:rPr>
          <w:rFonts w:hint="eastAsia" w:ascii="宋体" w:hAnsi="宋体" w:eastAsia="宋体" w:cs="宋体"/>
          <w:color w:val="000000" w:themeColor="text1"/>
          <w:sz w:val="24"/>
          <w:szCs w:val="24"/>
          <w:highlight w:val="none"/>
          <w:lang w:bidi="ar"/>
          <w14:textFill>
            <w14:solidFill>
              <w14:schemeClr w14:val="tx1"/>
            </w14:solidFill>
          </w14:textFill>
        </w:rPr>
        <w:t>与乙方特此签订安全生产合同：</w:t>
      </w:r>
    </w:p>
    <w:p w14:paraId="16E2C25F">
      <w:pPr>
        <w:keepNext w:val="0"/>
        <w:keepLines w:val="0"/>
        <w:pageBreakBefore w:val="0"/>
        <w:widowControl w:val="0"/>
        <w:kinsoku/>
        <w:wordWrap/>
        <w:overflowPunct/>
        <w:topLinePunct w:val="0"/>
        <w:autoSpaceDN/>
        <w:bidi w:val="0"/>
        <w:adjustRightInd/>
        <w:snapToGrid/>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一、甲方职责</w:t>
      </w:r>
    </w:p>
    <w:p w14:paraId="5D9978DF">
      <w:pPr>
        <w:keepNext w:val="0"/>
        <w:keepLines w:val="0"/>
        <w:pageBreakBefore w:val="0"/>
        <w:widowControl w:val="0"/>
        <w:numPr>
          <w:ilvl w:val="0"/>
          <w:numId w:val="2"/>
        </w:numPr>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严格遵守国家有关安全生产的法律法规，认真执行工程承包合同中的有关安全要求。</w:t>
      </w:r>
    </w:p>
    <w:p w14:paraId="0772BCC1">
      <w:pPr>
        <w:keepNext w:val="0"/>
        <w:keepLines w:val="0"/>
        <w:pageBreakBefore w:val="0"/>
        <w:widowControl w:val="0"/>
        <w:numPr>
          <w:ilvl w:val="0"/>
          <w:numId w:val="2"/>
        </w:numPr>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按照“安全第一，预防为主”和坚持“管生产必须管安全”的原则进行安全生产管理，做到生产与安全工作同时计划、布置、检查、总结和评比。</w:t>
      </w:r>
    </w:p>
    <w:p w14:paraId="43C72533">
      <w:pPr>
        <w:keepNext w:val="0"/>
        <w:keepLines w:val="0"/>
        <w:pageBreakBefore w:val="0"/>
        <w:widowControl w:val="0"/>
        <w:numPr>
          <w:ilvl w:val="0"/>
          <w:numId w:val="2"/>
        </w:numPr>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重要的安全设施必须坚持与主体工程“三同时”的原则，即：同时设计、审批、同时施工、同时验收，投入使用。</w:t>
      </w:r>
    </w:p>
    <w:p w14:paraId="25673D74">
      <w:pPr>
        <w:keepNext w:val="0"/>
        <w:keepLines w:val="0"/>
        <w:pageBreakBefore w:val="0"/>
        <w:widowControl w:val="0"/>
        <w:numPr>
          <w:ilvl w:val="0"/>
          <w:numId w:val="2"/>
        </w:numPr>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定期召开安全生产调度会，及时传达中央及地方有关安全生产的精神。</w:t>
      </w:r>
    </w:p>
    <w:p w14:paraId="4B9BBE18">
      <w:pPr>
        <w:keepNext w:val="0"/>
        <w:keepLines w:val="0"/>
        <w:pageBreakBefore w:val="0"/>
        <w:widowControl w:val="0"/>
        <w:numPr>
          <w:ilvl w:val="0"/>
          <w:numId w:val="2"/>
        </w:numPr>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组织对乙方施工现场安全生产检查，监督乙方及时处理发现的各种安全隐患。</w:t>
      </w:r>
    </w:p>
    <w:p w14:paraId="4B1C050E">
      <w:pPr>
        <w:keepNext w:val="0"/>
        <w:keepLines w:val="0"/>
        <w:pageBreakBefore w:val="0"/>
        <w:widowControl w:val="0"/>
        <w:kinsoku/>
        <w:wordWrap/>
        <w:overflowPunct/>
        <w:topLinePunct w:val="0"/>
        <w:autoSpaceDN/>
        <w:bidi w:val="0"/>
        <w:adjustRightInd/>
        <w:snapToGrid/>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二 、乙方职责</w:t>
      </w:r>
    </w:p>
    <w:p w14:paraId="27A3FB1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1、严格遵守国家及地方行政主管部门有关安全生产的法律法规，认真执行工程承包合同中的有关安全要求。</w:t>
      </w:r>
    </w:p>
    <w:p w14:paraId="068E46EC">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2、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63638D06">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3、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1%-3%配置安全员，专职负责所有员工的安全和治安保卫工作及预防事故的发生。安全机构人员，有权按照有关规定发布指令，并采取保护性措施防止事故发生。</w:t>
      </w:r>
    </w:p>
    <w:p w14:paraId="5E8D6E10">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4、乙方在任何时候都应采取各种合理的预防措施，防止其员工发生任何违法、违禁、暴力或妨碍治安的行为。</w:t>
      </w:r>
    </w:p>
    <w:p w14:paraId="5A16F34E">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5、乙方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5F20D02">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6、对于易燃易爆的材料除应专门妥善保管之外，还应配合有足够的消防设施，所有施工人员都应熟悉消防设备的性能和使用方法，乙方不得将任何种类的爆炸物给予、易贷或以其他方式转让给任何其他人，或允许、容忍上述同样行为。</w:t>
      </w:r>
    </w:p>
    <w:p w14:paraId="32A477E3">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7、操作人员上岗，必须按照规定穿戴防护用品，施工负责人和安全检查员应随时检查劳动防护用品的穿戴情况，不按规定穿戴防护用品的人员不得上岗。</w:t>
      </w:r>
    </w:p>
    <w:p w14:paraId="0526D3B3">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8、所有施工机具设备和高空作业的设备均应定期检查，并有安全员的签字记录，保证其经常处于完好状态，不合格的机具、设备的劳动保护用品严禁使用。</w:t>
      </w:r>
    </w:p>
    <w:p w14:paraId="1C7D946D">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9、施工中采用的新技术、新工艺、新设备、新材料时，必须制定相应的安全技术措施，施工现场必须具有相关的安全标志牌。</w:t>
      </w:r>
    </w:p>
    <w:p w14:paraId="68E12CE8">
      <w:pPr>
        <w:keepNext w:val="0"/>
        <w:keepLines w:val="0"/>
        <w:pageBreakBefore w:val="0"/>
        <w:widowControl w:val="0"/>
        <w:kinsoku/>
        <w:wordWrap/>
        <w:overflowPunct/>
        <w:topLinePunct w:val="0"/>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10、乙方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12FD155D">
      <w:pPr>
        <w:keepNext w:val="0"/>
        <w:keepLines w:val="0"/>
        <w:pageBreakBefore w:val="0"/>
        <w:widowControl w:val="0"/>
        <w:kinsoku/>
        <w:wordWrap/>
        <w:overflowPunct/>
        <w:topLinePunct w:val="0"/>
        <w:autoSpaceDN/>
        <w:bidi w:val="0"/>
        <w:adjustRightInd/>
        <w:snapToGrid/>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三、违约责任</w:t>
      </w:r>
    </w:p>
    <w:p w14:paraId="2E6F9019">
      <w:pPr>
        <w:keepNext w:val="0"/>
        <w:keepLines w:val="0"/>
        <w:pageBreakBefore w:val="0"/>
        <w:widowControl w:val="0"/>
        <w:kinsoku/>
        <w:wordWrap/>
        <w:overflowPunct/>
        <w:topLinePunct w:val="0"/>
        <w:autoSpaceDN/>
        <w:bidi w:val="0"/>
        <w:adjustRightInd/>
        <w:snapToGrid/>
        <w:spacing w:line="360" w:lineRule="auto"/>
        <w:ind w:left="480" w:left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如乙方违反本合同第二条规定则视为乙方违约，乙方应承担因为其违约造成</w:t>
      </w:r>
    </w:p>
    <w:p w14:paraId="25D7D650">
      <w:pPr>
        <w:keepNext w:val="0"/>
        <w:keepLines w:val="0"/>
        <w:pageBreakBefore w:val="0"/>
        <w:widowControl w:val="0"/>
        <w:kinsoku/>
        <w:wordWrap/>
        <w:overflowPunct/>
        <w:topLinePunct w:val="0"/>
        <w:autoSpaceDN/>
        <w:bidi w:val="0"/>
        <w:adjustRightInd/>
        <w:snapToGrid/>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的一切责任及产生的费用，如果造成安全事故，将依法追究乙方责任。</w:t>
      </w:r>
    </w:p>
    <w:p w14:paraId="7E62689E">
      <w:pPr>
        <w:keepNext w:val="0"/>
        <w:keepLines w:val="0"/>
        <w:pageBreakBefore w:val="0"/>
        <w:widowControl w:val="0"/>
        <w:kinsoku/>
        <w:wordWrap/>
        <w:overflowPunct/>
        <w:topLinePunct w:val="0"/>
        <w:autoSpaceDN/>
        <w:bidi w:val="0"/>
        <w:adjustRightInd/>
        <w:snapToGrid/>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本合同，由双方法定代表人或授权的代理人签署与加盖公章后生效，随维护协议书失效而失效。</w:t>
      </w:r>
    </w:p>
    <w:p w14:paraId="1BB245D5">
      <w:pPr>
        <w:keepNext w:val="0"/>
        <w:keepLines w:val="0"/>
        <w:pageBreakBefore w:val="0"/>
        <w:widowControl w:val="0"/>
        <w:kinsoku/>
        <w:wordWrap/>
        <w:overflowPunct/>
        <w:topLinePunct w:val="0"/>
        <w:autoSpaceDE w:val="0"/>
        <w:autoSpaceDN/>
        <w:bidi w:val="0"/>
        <w:adjustRightInd/>
        <w:snapToGrid/>
        <w:spacing w:line="360" w:lineRule="auto"/>
        <w:ind w:firstLine="480"/>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甲方：                            乙方：</w:t>
      </w:r>
    </w:p>
    <w:p w14:paraId="402F71C3">
      <w:pPr>
        <w:keepNext w:val="0"/>
        <w:keepLines w:val="0"/>
        <w:pageBreakBefore w:val="0"/>
        <w:widowControl w:val="0"/>
        <w:kinsoku/>
        <w:wordWrap/>
        <w:overflowPunct/>
        <w:topLinePunct w:val="0"/>
        <w:autoSpaceDE w:val="0"/>
        <w:autoSpaceDN/>
        <w:bidi w:val="0"/>
        <w:adjustRightInd/>
        <w:snapToGrid/>
        <w:spacing w:line="360" w:lineRule="auto"/>
        <w:ind w:firstLine="480"/>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法定代表人：                      法定代表人：</w:t>
      </w:r>
    </w:p>
    <w:p w14:paraId="4816CF74">
      <w:pPr>
        <w:keepNext w:val="0"/>
        <w:keepLines w:val="0"/>
        <w:pageBreakBefore w:val="0"/>
        <w:widowControl w:val="0"/>
        <w:kinsoku/>
        <w:wordWrap/>
        <w:overflowPunct/>
        <w:topLinePunct w:val="0"/>
        <w:autoSpaceDE w:val="0"/>
        <w:autoSpaceDN/>
        <w:bidi w:val="0"/>
        <w:adjustRightInd/>
        <w:snapToGrid/>
        <w:spacing w:line="360" w:lineRule="auto"/>
        <w:ind w:firstLine="480"/>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（或委托人）                      （或委托人）</w:t>
      </w:r>
    </w:p>
    <w:p w14:paraId="6F12AA5F">
      <w:pPr>
        <w:keepNext w:val="0"/>
        <w:keepLines w:val="0"/>
        <w:pageBreakBefore w:val="0"/>
        <w:widowControl w:val="0"/>
        <w:kinsoku/>
        <w:wordWrap/>
        <w:overflowPunct/>
        <w:topLinePunct w:val="0"/>
        <w:autoSpaceDE w:val="0"/>
        <w:autoSpaceDN/>
        <w:bidi w:val="0"/>
        <w:adjustRightInd/>
        <w:snapToGrid/>
        <w:spacing w:line="360" w:lineRule="auto"/>
        <w:ind w:firstLine="480"/>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经办人：                           经办人：</w:t>
      </w:r>
    </w:p>
    <w:p w14:paraId="67DDC1C2">
      <w:pPr>
        <w:keepNext w:val="0"/>
        <w:keepLines w:val="0"/>
        <w:pageBreakBefore w:val="0"/>
        <w:widowControl w:val="0"/>
        <w:kinsoku/>
        <w:wordWrap/>
        <w:overflowPunct/>
        <w:topLinePunct w:val="0"/>
        <w:autoSpaceDE w:val="0"/>
        <w:autoSpaceDN/>
        <w:bidi w:val="0"/>
        <w:adjustRightInd/>
        <w:snapToGrid/>
        <w:spacing w:line="360" w:lineRule="auto"/>
        <w:ind w:firstLine="5783" w:firstLineChars="2400"/>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年  月   日</w:t>
      </w:r>
    </w:p>
    <w:p w14:paraId="56C2AD04">
      <w:pPr>
        <w:pStyle w:val="3"/>
        <w:pageBreakBefore w:val="0"/>
        <w:kinsoku/>
        <w:wordWrap/>
        <w:overflowPunct/>
        <w:topLinePunct w:val="0"/>
        <w:bidi w:val="0"/>
        <w:spacing w:line="360" w:lineRule="auto"/>
        <w:textAlignment w:val="auto"/>
        <w:rPr>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br w:type="page"/>
      </w:r>
    </w:p>
    <w:p w14:paraId="69332D2E">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附件</w:t>
      </w:r>
      <w:r>
        <w:rPr>
          <w:rFonts w:hint="eastAsia" w:ascii="宋体" w:hAnsi="宋体" w:cs="宋体"/>
          <w:b/>
          <w:color w:val="000000" w:themeColor="text1"/>
          <w:sz w:val="24"/>
          <w:szCs w:val="24"/>
          <w:highlight w:val="none"/>
          <w:lang w:val="en-US" w:eastAsia="zh-CN" w:bidi="ar"/>
          <w14:textFill>
            <w14:solidFill>
              <w14:schemeClr w14:val="tx1"/>
            </w14:solidFill>
          </w14:textFill>
        </w:rPr>
        <w:t>3</w:t>
      </w:r>
      <w:r>
        <w:rPr>
          <w:rFonts w:hint="eastAsia" w:ascii="宋体" w:hAnsi="宋体" w:eastAsia="宋体" w:cs="宋体"/>
          <w:b/>
          <w:color w:val="000000" w:themeColor="text1"/>
          <w:sz w:val="24"/>
          <w:szCs w:val="24"/>
          <w:highlight w:val="none"/>
          <w:lang w:bidi="ar"/>
          <w14:textFill>
            <w14:solidFill>
              <w14:schemeClr w14:val="tx1"/>
            </w14:solidFill>
          </w14:textFill>
        </w:rPr>
        <w:t xml:space="preserve">   工程项目廉政合同书</w:t>
      </w:r>
    </w:p>
    <w:p w14:paraId="455D87B5">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eastAsia="宋体" w:cs="宋体"/>
          <w:color w:val="000000" w:themeColor="text1"/>
          <w:sz w:val="24"/>
          <w:szCs w:val="24"/>
          <w:highlight w:val="none"/>
          <w:u w:val="single"/>
          <w:lang w:bidi="ar"/>
          <w14:textFill>
            <w14:solidFill>
              <w14:schemeClr w14:val="tx1"/>
            </w14:solidFill>
          </w14:textFill>
        </w:rPr>
        <w:t xml:space="preserve">         </w:t>
      </w:r>
      <w:r>
        <w:rPr>
          <w:rFonts w:hint="eastAsia" w:ascii="宋体" w:hAnsi="宋体" w:eastAsia="宋体" w:cs="宋体"/>
          <w:color w:val="000000" w:themeColor="text1"/>
          <w:sz w:val="24"/>
          <w:szCs w:val="24"/>
          <w:highlight w:val="none"/>
          <w:lang w:bidi="ar"/>
          <w14:textFill>
            <w14:solidFill>
              <w14:schemeClr w14:val="tx1"/>
            </w14:solidFill>
          </w14:textFill>
        </w:rPr>
        <w:t>(以下简称甲方)与施工单位(以下筒称乙方),特签订本廉政合同书。</w:t>
      </w:r>
    </w:p>
    <w:p w14:paraId="2A66C7FA">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第一条:各方的权利和义务</w:t>
      </w:r>
    </w:p>
    <w:p w14:paraId="262964DD">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各方同意并声明,在业务活动中</w:t>
      </w:r>
    </w:p>
    <w:p w14:paraId="090A7C5F">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（一）严格、自觉的遵守和执行国家关于市场准入、工程建设、市场活动的有关法律、法规、相关政策以及党和国家关于党风廉政建设的各项规定，严格执行合同文件、执行工程建设管理制度。</w:t>
      </w:r>
    </w:p>
    <w:p w14:paraId="5E307658">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（二）各方的业务活动坚持公开、公正、诚信的原则(除法律认定的商业秘密和合同文件另有规定之外)，严格、自觉按照合同办事，不得损害国家和甲乙各方的利益。</w:t>
      </w:r>
    </w:p>
    <w:p w14:paraId="12A7A2C2">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411B8BFA">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（四）倡导相互监督，发现对方在业务活动中有违反廉政规定行为的,有及时提醒对方纠正的权利和义务。发现对方违反承诺条款的，有向其上级有关部门举报并要求告知处理结果的权利。</w:t>
      </w:r>
    </w:p>
    <w:p w14:paraId="503D6C4D">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（五）不以损害国家、集体或第三人利益为代价获取不正当的利益。</w:t>
      </w:r>
    </w:p>
    <w:p w14:paraId="15F374F8">
      <w:pPr>
        <w:pageBreakBefore w:val="0"/>
        <w:kinsoku/>
        <w:wordWrap/>
        <w:overflowPunct/>
        <w:topLinePunct w:val="0"/>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第二条:甲方的承诺</w:t>
      </w:r>
    </w:p>
    <w:p w14:paraId="5A1CF5D1">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甲方工作人员在工程建设中应遵守如下规定：</w:t>
      </w:r>
    </w:p>
    <w:p w14:paraId="1D4038E9">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（一）不得索要或接受乙方钱物(现金、有价证券、信用卡、礼金、奖金、补贴、物品等),不得在乙方报销任何应由甲方或个人支付的费用。</w:t>
      </w:r>
    </w:p>
    <w:p w14:paraId="78548FD2">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（二）不得接受乙方安排的可能影响公务的住宿、宴请娱乐及出国(境)、旅游观光活动；不得接受乙方提供的合同规定外的通讯工具、交通工具和高档办公用品等。</w:t>
      </w:r>
    </w:p>
    <w:p w14:paraId="764F4BBE">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（三）不得要求或者接受乙方为其及家庭成员在住房装修、婚丧嫁娶、配偶子女的工作安排及出国、出境、旅游等方面提供方便。</w:t>
      </w:r>
    </w:p>
    <w:p w14:paraId="5FD82547">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（四）工作人员及其配偶、子女、亲属不得从事与工程有关的材料设备供应、工程分包、劳务等经济活动。</w:t>
      </w:r>
    </w:p>
    <w:p w14:paraId="4F0A4825">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（五）不得违反规定向乙方推荐分包单位和设备、材料供应商,不得要求乙方购买合同规定外的材料和设备等。</w:t>
      </w:r>
    </w:p>
    <w:p w14:paraId="73A15CD9">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（六）不得为获取乙方回扣或其他谋取私利目的而多签或多算工程量、多结工程款不得从乙方承包的工程中收受回扣,谋取私利。</w:t>
      </w:r>
    </w:p>
    <w:p w14:paraId="29B0659F">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（七）不得因乙方拒绝本人的不合理要求,而故意刁难乙方。</w:t>
      </w:r>
    </w:p>
    <w:p w14:paraId="66DF1860">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（八）其它有关违反廉政规定的行为。</w:t>
      </w:r>
    </w:p>
    <w:p w14:paraId="427EC56C">
      <w:pPr>
        <w:pageBreakBefore w:val="0"/>
        <w:kinsoku/>
        <w:wordWrap/>
        <w:overflowPunct/>
        <w:topLinePunct w:val="0"/>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第三条:乙方的承诺</w:t>
      </w:r>
    </w:p>
    <w:p w14:paraId="2AD21F09">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乙方应与甲方和监理保持正常的业务来往,按照有关法律、法规和工作程序开展业务工作并遵守以下规定：</w:t>
      </w:r>
    </w:p>
    <w:p w14:paraId="3FBE6E37">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（一）不得以任何理由向甲方、监理单位赠送钱物(现金、有价证券、信用卡、礼金、奖金、补贴、物品等)。</w:t>
      </w:r>
    </w:p>
    <w:p w14:paraId="3591FD98">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（二）不得以任何名义为甲方、监理单位报销应由甲方、监理单位或个人支付的任何费用。</w:t>
      </w:r>
    </w:p>
    <w:p w14:paraId="4276AB25">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（三）不准以任何理由为甲方、监理单位和其它相关单位及其工作人员提供有可能影响执行公务的宴请、健身和娱乐等活动。</w:t>
      </w:r>
    </w:p>
    <w:p w14:paraId="6D187272">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（四）不得为甲方和监理单位的相关人员购置或提供合同规定外的通讯工具、交通工具和高档办公用品等。</w:t>
      </w:r>
    </w:p>
    <w:p w14:paraId="63E36A00">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（五）不准接受或暗示为甲方、监理单位和其它相关单位及其工作人员装修房屋、婚丧嫁娶、配偶子女的工作安排以及出国(境)、旅游观光活动提供方便。</w:t>
      </w:r>
    </w:p>
    <w:p w14:paraId="509DD392">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（六）不准利用黄、赌、贿等各种手段拉拢腐蚀甲方工作人员。</w:t>
      </w:r>
    </w:p>
    <w:p w14:paraId="62B9E73F">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（七）其它有关违反廉政规定的行为。</w:t>
      </w:r>
    </w:p>
    <w:p w14:paraId="06608F3A">
      <w:pPr>
        <w:pageBreakBefore w:val="0"/>
        <w:kinsoku/>
        <w:wordWrap/>
        <w:overflowPunct/>
        <w:topLinePunct w:val="0"/>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第四条:责任追究</w:t>
      </w:r>
    </w:p>
    <w:p w14:paraId="3EB0E5D1">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5F455C7B">
      <w:pPr>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（二）乙方若违反本承诺规定,甲方有权要求乙方对责任人进行处理。情节严重的申请相关部门禁止乙方进入本区工程建设市场，在新闻媒体曝光并报乙方上级或行业主管部门。</w:t>
      </w:r>
    </w:p>
    <w:p w14:paraId="574914A0">
      <w:pPr>
        <w:pageBreakBefore w:val="0"/>
        <w:kinsoku/>
        <w:wordWrap/>
        <w:overflowPunct/>
        <w:topLinePunct w:val="0"/>
        <w:bidi w:val="0"/>
        <w:spacing w:line="360" w:lineRule="auto"/>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第五条:其他约定</w:t>
      </w:r>
    </w:p>
    <w:p w14:paraId="77FB9E9B">
      <w:pPr>
        <w:pageBreakBefore w:val="0"/>
        <w:numPr>
          <w:ilvl w:val="0"/>
          <w:numId w:val="3"/>
        </w:numPr>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本合同书由各方单位或上级主管单位的纪检、监察部门负责监督执行。</w:t>
      </w:r>
    </w:p>
    <w:p w14:paraId="455DD75F">
      <w:pPr>
        <w:pStyle w:val="2"/>
        <w:pageBreakBefore w:val="0"/>
        <w:widowControl/>
        <w:numPr>
          <w:ilvl w:val="0"/>
          <w:numId w:val="3"/>
        </w:numPr>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本合同书作为工程施工合同的组成部分，各方签字盖章或盖章后即生效，有效期为各方签署之日起至该工程项目竣工验收合格并办理完毕工程结算时止。</w:t>
      </w:r>
    </w:p>
    <w:p w14:paraId="281ABCEB">
      <w:pPr>
        <w:pStyle w:val="2"/>
        <w:pageBreakBefore w:val="0"/>
        <w:widowControl/>
        <w:numPr>
          <w:ilvl w:val="0"/>
          <w:numId w:val="3"/>
        </w:numPr>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本合同同工程施工合同份数相同，具有同等法律效力。</w:t>
      </w:r>
    </w:p>
    <w:p w14:paraId="0C2DA38C">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0AD4A7F">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EA16D16">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72FF814">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A386424">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A7FF8A7">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甲方（盖章）：                        乙方（盖章）：</w:t>
      </w:r>
    </w:p>
    <w:p w14:paraId="640CE781">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3FB121DB">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079F9404">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法定代表人：                          法定代表人：</w:t>
      </w:r>
    </w:p>
    <w:p w14:paraId="6E9DC141">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76B491B2">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512AC628">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5CC38626">
      <w:pPr>
        <w:pageBreakBefore w:val="0"/>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经办人：                               经办人： </w:t>
      </w:r>
    </w:p>
    <w:p w14:paraId="48950511">
      <w:pPr>
        <w:pageBreakBefore w:val="0"/>
        <w:kinsoku/>
        <w:wordWrap/>
        <w:overflowPunct/>
        <w:topLinePunct w:val="0"/>
        <w:bidi w:val="0"/>
        <w:spacing w:line="360" w:lineRule="auto"/>
        <w:ind w:firstLine="5760" w:firstLineChars="24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068942E3">
      <w:pPr>
        <w:pageBreakBefore w:val="0"/>
        <w:kinsoku/>
        <w:wordWrap/>
        <w:overflowPunct/>
        <w:topLinePunct w:val="0"/>
        <w:bidi w:val="0"/>
        <w:spacing w:line="360" w:lineRule="auto"/>
        <w:ind w:firstLine="5760" w:firstLineChars="24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w:t>
      </w:r>
    </w:p>
    <w:p w14:paraId="1E1BED71">
      <w:pPr>
        <w:pageBreakBefore w:val="0"/>
        <w:kinsoku/>
        <w:wordWrap/>
        <w:overflowPunct/>
        <w:topLinePunct w:val="0"/>
        <w:bidi w:val="0"/>
        <w:spacing w:line="360" w:lineRule="auto"/>
        <w:ind w:firstLine="960" w:firstLineChars="4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年  月  日                                年    月    日</w:t>
      </w:r>
    </w:p>
    <w:p w14:paraId="0B9903C2">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67A3578">
      <w:pPr>
        <w:pStyle w:val="2"/>
        <w:pageBreakBefore w:val="0"/>
        <w:widowControl/>
        <w:kinsoku/>
        <w:wordWrap/>
        <w:overflowPunct/>
        <w:topLinePunct w:val="0"/>
        <w:bidi w:val="0"/>
        <w:spacing w:line="360" w:lineRule="auto"/>
        <w:ind w:firstLine="48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8DCA7F0">
      <w:pPr>
        <w:pageBreakBefore w:val="0"/>
        <w:kinsoku/>
        <w:wordWrap/>
        <w:overflowPunct/>
        <w:topLinePunct w:val="0"/>
        <w:bidi w:val="0"/>
        <w:spacing w:line="360" w:lineRule="auto"/>
        <w:textAlignment w:val="auto"/>
        <w:rPr>
          <w:rFonts w:hint="eastAsia" w:ascii="宋体" w:hAnsi="宋体" w:eastAsia="宋体" w:cs="宋体"/>
          <w:b/>
          <w:color w:val="000000" w:themeColor="text1"/>
          <w:sz w:val="24"/>
          <w:szCs w:val="24"/>
          <w:highlight w:val="none"/>
          <w:lang w:bidi="ar"/>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br w:type="page"/>
      </w:r>
    </w:p>
    <w:p w14:paraId="7BAC63C8">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附件</w:t>
      </w:r>
      <w:r>
        <w:rPr>
          <w:rFonts w:hint="eastAsia" w:ascii="宋体" w:hAnsi="宋体" w:cs="宋体"/>
          <w:b/>
          <w:color w:val="000000" w:themeColor="text1"/>
          <w:sz w:val="24"/>
          <w:szCs w:val="24"/>
          <w:highlight w:val="none"/>
          <w:lang w:val="en-US" w:eastAsia="zh-CN" w:bidi="ar"/>
          <w14:textFill>
            <w14:solidFill>
              <w14:schemeClr w14:val="tx1"/>
            </w14:solidFill>
          </w14:textFill>
        </w:rPr>
        <w:t>4</w:t>
      </w:r>
      <w:r>
        <w:rPr>
          <w:rFonts w:hint="eastAsia" w:ascii="宋体" w:hAnsi="宋体" w:eastAsia="宋体" w:cs="宋体"/>
          <w:b/>
          <w:color w:val="000000" w:themeColor="text1"/>
          <w:sz w:val="24"/>
          <w:szCs w:val="24"/>
          <w:highlight w:val="none"/>
          <w:lang w:bidi="ar"/>
          <w14:textFill>
            <w14:solidFill>
              <w14:schemeClr w14:val="tx1"/>
            </w14:solidFill>
          </w14:textFill>
        </w:rPr>
        <w:t>：农民工工资按时发放承诺书</w:t>
      </w:r>
    </w:p>
    <w:p w14:paraId="7A1D832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bidi="ar"/>
          <w14:textFill>
            <w14:solidFill>
              <w14:schemeClr w14:val="tx1"/>
            </w14:solidFill>
          </w14:textFill>
        </w:rPr>
        <w:t>致:</w:t>
      </w:r>
      <w:r>
        <w:rPr>
          <w:rFonts w:hint="eastAsia" w:ascii="宋体" w:hAnsi="宋体" w:eastAsia="宋体" w:cs="宋体"/>
          <w:b/>
          <w:color w:val="000000" w:themeColor="text1"/>
          <w:sz w:val="24"/>
          <w:szCs w:val="24"/>
          <w:highlight w:val="none"/>
          <w:u w:val="single"/>
          <w:lang w:bidi="ar"/>
          <w14:textFill>
            <w14:solidFill>
              <w14:schemeClr w14:val="tx1"/>
            </w14:solidFill>
          </w14:textFill>
        </w:rPr>
        <w:t xml:space="preserve">                    </w:t>
      </w:r>
    </w:p>
    <w:p w14:paraId="58140C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我公司了保证农民工工资按时发放,避免拖欠或克扣农民工工资的现象发生。向贵单位郑重承诺如下：</w:t>
      </w:r>
    </w:p>
    <w:p w14:paraId="713C9EC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678C15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二、无论我们是否能够及时获得工程款,确保及时支付农民工工资,并将工资直接发放给农民工本人。</w:t>
      </w:r>
    </w:p>
    <w:p w14:paraId="6EA179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三、在支付农民工工资时,编制工资支付表,如实记录工资支付情况,并将有关记录保存备查。</w:t>
      </w:r>
    </w:p>
    <w:p w14:paraId="659AD5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3CA9D1D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五、我们保证对劳务分包企业的工资支付情况及有关事宜,进行全方位监督,确保农民工及时足额领到工资。</w:t>
      </w:r>
    </w:p>
    <w:p w14:paraId="3F26DAC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六、我公司为避免出现拖欠或克扣农民工工资等现象,建立了农民工工资储备金应急机制,防止出现因拖欠农民工工资而引发群体性上访事件。</w:t>
      </w:r>
    </w:p>
    <w:p w14:paraId="072843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七、我公司在支付农民工资时,随时接受贵单位及贵单位委托的监理公司的监督检查，并对提出的质疑做合理解释。</w:t>
      </w:r>
    </w:p>
    <w:p w14:paraId="7251BB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6AD390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特此承诺!</w:t>
      </w:r>
    </w:p>
    <w:p w14:paraId="6132CD87">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承包单位:(盖章)</w:t>
      </w:r>
    </w:p>
    <w:p w14:paraId="52A59C3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法定代表人：</w:t>
      </w:r>
    </w:p>
    <w:p w14:paraId="75A4D18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themeColor="text1"/>
          <w:sz w:val="24"/>
          <w:szCs w:val="24"/>
          <w:highlight w:val="none"/>
          <w:lang w:bidi="ar"/>
          <w14:textFill>
            <w14:solidFill>
              <w14:schemeClr w14:val="tx1"/>
            </w14:solidFill>
          </w14:textFill>
        </w:rPr>
      </w:pPr>
      <w:r>
        <w:rPr>
          <w:rFonts w:hint="eastAsia" w:ascii="宋体" w:hAnsi="宋体" w:eastAsia="宋体" w:cs="宋体"/>
          <w:color w:val="000000" w:themeColor="text1"/>
          <w:sz w:val="24"/>
          <w:szCs w:val="24"/>
          <w:highlight w:val="none"/>
          <w:lang w:bidi="ar"/>
          <w14:textFill>
            <w14:solidFill>
              <w14:schemeClr w14:val="tx1"/>
            </w14:solidFill>
          </w14:textFill>
        </w:rPr>
        <w:t xml:space="preserve">                                        年     月     日</w:t>
      </w:r>
    </w:p>
    <w:p w14:paraId="4DAA25E3">
      <w:pPr>
        <w:pageBreakBefore w:val="0"/>
        <w:kinsoku/>
        <w:wordWrap/>
        <w:overflowPunct/>
        <w:topLinePunct w:val="0"/>
        <w:bidi w:val="0"/>
        <w:spacing w:line="360" w:lineRule="auto"/>
        <w:textAlignment w:val="auto"/>
        <w:rPr>
          <w:color w:val="000000" w:themeColor="text1"/>
          <w:highlight w:val="none"/>
          <w14:textFill>
            <w14:solidFill>
              <w14:schemeClr w14:val="tx1"/>
            </w14:solidFill>
          </w14:textFill>
        </w:rPr>
      </w:pPr>
    </w:p>
    <w:p w14:paraId="4212D6F6">
      <w:pPr>
        <w:pageBreakBefore w:val="0"/>
        <w:kinsoku/>
        <w:wordWrap/>
        <w:overflowPunct/>
        <w:topLinePunct w:val="0"/>
        <w:bidi w:val="0"/>
        <w:spacing w:line="360" w:lineRule="auto"/>
        <w:textAlignment w:val="auto"/>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E56390"/>
    <w:multiLevelType w:val="multilevel"/>
    <w:tmpl w:val="8EE56390"/>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D5173D52"/>
    <w:multiLevelType w:val="multilevel"/>
    <w:tmpl w:val="D5173D52"/>
    <w:lvl w:ilvl="0" w:tentative="0">
      <w:start w:val="1"/>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0000001"/>
    <w:multiLevelType w:val="singleLevel"/>
    <w:tmpl w:val="00000001"/>
    <w:lvl w:ilvl="0" w:tentative="0">
      <w:start w:val="2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E38D9"/>
    <w:rsid w:val="2D4E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sz w:val="21"/>
    </w:rPr>
  </w:style>
  <w:style w:type="paragraph" w:styleId="3">
    <w:name w:val="Body Text"/>
    <w:basedOn w:val="1"/>
    <w:next w:val="1"/>
    <w:qFormat/>
    <w:uiPriority w:val="1"/>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2025-04-24T09:18:00Z</dcterms:created>
  <dc:creator>吃猫的鱼</dc:creator>
  <cp:lastModifiedBy>吃猫的鱼</cp:lastModifiedBy>
  <dcterms:modified xsi:type="dcterms:W3CDTF">2025-04-24T09:22:49Z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B3F8577FC32C42879E9127F26954FB6D_11</vt:lpwstr>
  </property>
  <property fmtid="{D5CDD505-2E9C-101B-9397-08002B2CF9AE}" pid="4" name="KSOTemplateDocerSaveRecord">
    <vt:lpwstr>eyJoZGlkIjoiN2U0ZjkzN2MxNjBiMzg5ZjBlNjg0ZTk0MzIxMDQzZGUiLCJ1c2VySWQiOiIyMzc4MTk3NjYifQ==</vt:lpwstr>
  </property>
</Properties>
</file>