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版本号：ZDJ125-008ZSA20250422002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国家标准化代谢性疾病管理中心MMC配套设备项目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ZDJ125-008ZSA</w:t>
      </w:r>
      <w:r>
        <w:br/>
      </w:r>
      <w:r>
        <w:br/>
      </w:r>
      <w:r>
        <w:br/>
      </w:r>
    </w:p>
    <w:p>
      <w:pPr>
        <w:pStyle w:val="null3"/>
        <w:jc w:val="center"/>
        <w:outlineLvl w:val="2"/>
      </w:pPr>
      <w:r>
        <w:rPr>
          <w:rFonts w:ascii="仿宋_GB2312" w:hAnsi="仿宋_GB2312" w:cs="仿宋_GB2312" w:eastAsia="仿宋_GB2312"/>
          <w:sz w:val="28"/>
          <w:b/>
        </w:rPr>
        <w:t>陕西中医药大学第二附属医院</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陕西中医药大学第二附属医院</w:t>
      </w:r>
      <w:r>
        <w:rPr>
          <w:rFonts w:ascii="仿宋_GB2312" w:hAnsi="仿宋_GB2312" w:cs="仿宋_GB2312" w:eastAsia="仿宋_GB2312"/>
        </w:rPr>
        <w:t>委托，拟对</w:t>
      </w:r>
      <w:r>
        <w:rPr>
          <w:rFonts w:ascii="仿宋_GB2312" w:hAnsi="仿宋_GB2312" w:cs="仿宋_GB2312" w:eastAsia="仿宋_GB2312"/>
        </w:rPr>
        <w:t>国家标准化代谢性疾病管理中心MMC配套设备项目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ZDJ125-008ZSA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国家标准化代谢性疾病管理中心MMC配套设备项目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陕西中医药大学第二附属医院国家标准化代谢性疾病管理中心MMC配套设备项目，具体内容以招标文件要求为准。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1、企业资质：生产企业需提供的：投标产品《医疗器械注册证》和《医疗器械生产许可证》。 经销商需提供的：《医疗器械经营许可证》和生产企业投标产品《医疗器械注册证》和《医疗器械生产许可证》复印件。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咸阳市渭阳西路5号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陕西中医药大学第二附属医院经办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029-33350559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陕西省西安市雁塔区南二环东段22号凯森盛世1号A座26-27层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卓腾、王亚妮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029-82471109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代理服务费收费标准：依据《招标代理服务收费管理暂行办法》（计价格[2002]1980号）规定标准下浮50%收取，由中标单位在领取成交通知书前一次性支付代理服务费。 开户名称：正大方略工程咨询有限公司西安第一分公司 开户行：交通银行西安友谊西路支行 账号：611301130018150039138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陕西中医药大学第二附属医院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陕西中医药大学第二附属医院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1、乙方的产品质量应当符合国家行业规定的标准，并无任何瑕疵；乙方应按配置清单要求提供原装全新产品，对该产品实行三包（即包修、包退、包换）。 2、如交付品种、型号、规格不符合同约定的，由乙方负责退换，由此产生的一切费用及给甲方造成的相关损失由乙方全部承担并赔偿相应损失，且交货期限不予延长。 3、如不能修理或者不能调换的，按不能交货处理，因此给甲方造成的所有经济损失乙方应予全额赔偿。 4、如因该产品本身的质量原因而在使用过程中造成的任何医疗事故纠纷，由乙方全额负责赔偿，甲方因此遭遇索赔的，有权向乙方追偿。 5、乙方及其工作人员在履行本合同义务过程中，造成其自身或甲方工作人员或任何第三人人身、财产遭受损伤的，均由乙方承担一切法律责任，与甲方无关，甲方因此遭遇索赔的，有权向乙方追偿。其他内容详见合同部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联系人：卓腾、王亚妮</w:t>
      </w:r>
    </w:p>
    <w:p>
      <w:pPr>
        <w:pStyle w:val="null3"/>
      </w:pPr>
      <w:r>
        <w:rPr>
          <w:rFonts w:ascii="仿宋_GB2312" w:hAnsi="仿宋_GB2312" w:cs="仿宋_GB2312" w:eastAsia="仿宋_GB2312"/>
        </w:rPr>
        <w:t>联系电话：029-82471109</w:t>
      </w:r>
    </w:p>
    <w:p>
      <w:pPr>
        <w:pStyle w:val="null3"/>
      </w:pPr>
      <w:r>
        <w:rPr>
          <w:rFonts w:ascii="仿宋_GB2312" w:hAnsi="仿宋_GB2312" w:cs="仿宋_GB2312" w:eastAsia="仿宋_GB2312"/>
        </w:rPr>
        <w:t>地址：陕西省西安市雁塔区南二环东段22号凯森盛世1号A座26层2617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陕西中医药大学第二附属医院国家标准化代谢性疾病管理中心MMC配套设备项目，具体内容以招标文件要求为准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1,470,000.00</w:t>
      </w:r>
    </w:p>
    <w:p>
      <w:pPr>
        <w:pStyle w:val="null3"/>
      </w:pPr>
      <w:r>
        <w:rPr>
          <w:rFonts w:ascii="仿宋_GB2312" w:hAnsi="仿宋_GB2312" w:cs="仿宋_GB2312" w:eastAsia="仿宋_GB2312"/>
        </w:rPr>
        <w:t>采购包最高限价（元）: 1,470,000.00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动脉硬化检测装置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骨密度检测仪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眼底相机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肌电图诱发电位仪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标的名称：动脉硬化检测装置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动脉硬化检测装置</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17"/>
              <w:gridCol w:w="151"/>
              <w:gridCol w:w="194"/>
              <w:gridCol w:w="986"/>
              <w:gridCol w:w="300"/>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重要性</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技术参数及要求</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是否提供证明资料</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检测参数</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PWV（baPWV，血管硬化指数）：国际公认的动脉硬化指数，需测量分段PWV；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94"/>
                  <w:vMerge/>
                  <w:tcBorders>
                    <w:top w:val="none" w:color="000000" w:sz="4"/>
                    <w:left w:val="non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在同一心动周期内同步检测</w:t>
                  </w:r>
                  <w:r>
                    <w:rPr>
                      <w:rFonts w:ascii="仿宋_GB2312" w:hAnsi="仿宋_GB2312" w:cs="仿宋_GB2312" w:eastAsia="仿宋_GB2312"/>
                      <w:sz w:val="20"/>
                    </w:rPr>
                    <w:t>:</w:t>
                  </w:r>
                  <w:r>
                    <w:rPr>
                      <w:rFonts w:ascii="仿宋_GB2312" w:hAnsi="仿宋_GB2312" w:cs="仿宋_GB2312" w:eastAsia="仿宋_GB2312"/>
                      <w:sz w:val="19"/>
                    </w:rPr>
                    <w:t xml:space="preserve"> </w:t>
                  </w:r>
                  <w:r>
                    <w:rPr>
                      <w:rFonts w:ascii="仿宋_GB2312" w:hAnsi="仿宋_GB2312" w:cs="仿宋_GB2312" w:eastAsia="仿宋_GB2312"/>
                      <w:sz w:val="20"/>
                    </w:rPr>
                    <w:t>baPWV(左)baPWV(右)</w:t>
                  </w:r>
                </w:p>
                <w:p>
                  <w:pPr>
                    <w:pStyle w:val="null3"/>
                    <w:jc w:val="left"/>
                  </w:pPr>
                  <w:r>
                    <w:rPr>
                      <w:rFonts w:ascii="仿宋_GB2312" w:hAnsi="仿宋_GB2312" w:cs="仿宋_GB2312" w:eastAsia="仿宋_GB2312"/>
                      <w:sz w:val="20"/>
                    </w:rPr>
                    <w:t>haPWV（左）haPWV（右）</w:t>
                  </w:r>
                </w:p>
                <w:p>
                  <w:pPr>
                    <w:pStyle w:val="null3"/>
                    <w:jc w:val="left"/>
                  </w:pPr>
                  <w:r>
                    <w:rPr>
                      <w:rFonts w:ascii="仿宋_GB2312" w:hAnsi="仿宋_GB2312" w:cs="仿宋_GB2312" w:eastAsia="仿宋_GB2312"/>
                      <w:sz w:val="20"/>
                    </w:rPr>
                    <w:t>hbPWV（左）hbPWV（右）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94"/>
                  <w:vMerge/>
                  <w:tcBorders>
                    <w:top w:val="none" w:color="000000" w:sz="4"/>
                    <w:left w:val="non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ABI：踝臂指数,检测下肢动脉闭塞程度,以评估心脑血管发病风险；</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94"/>
                  <w:vMerge/>
                  <w:tcBorders>
                    <w:top w:val="none" w:color="000000" w:sz="4"/>
                    <w:left w:val="non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AI：反射波增强指数；</w:t>
                  </w:r>
                </w:p>
                <w:p>
                  <w:pPr>
                    <w:pStyle w:val="null3"/>
                    <w:jc w:val="left"/>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94"/>
                  <w:vMerge/>
                  <w:tcBorders>
                    <w:top w:val="none" w:color="000000" w:sz="4"/>
                    <w:left w:val="non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ECG(心电)、PCG(心音)、收缩压、舒张压、平均压、PEP</w:t>
                  </w:r>
                  <w:r>
                    <w:rPr>
                      <w:rFonts w:ascii="仿宋_GB2312" w:hAnsi="仿宋_GB2312" w:cs="仿宋_GB2312" w:eastAsia="仿宋_GB2312"/>
                      <w:sz w:val="20"/>
                    </w:rPr>
                    <w:t>（</w:t>
                  </w:r>
                  <w:r>
                    <w:rPr>
                      <w:rFonts w:ascii="仿宋_GB2312" w:hAnsi="仿宋_GB2312" w:cs="仿宋_GB2312" w:eastAsia="仿宋_GB2312"/>
                      <w:sz w:val="20"/>
                    </w:rPr>
                    <w:t>射血指数</w:t>
                  </w:r>
                  <w:r>
                    <w:rPr>
                      <w:rFonts w:ascii="仿宋_GB2312" w:hAnsi="仿宋_GB2312" w:cs="仿宋_GB2312" w:eastAsia="仿宋_GB2312"/>
                      <w:sz w:val="20"/>
                    </w:rPr>
                    <w:t>）</w:t>
                  </w:r>
                  <w:r>
                    <w:rPr>
                      <w:rFonts w:ascii="仿宋_GB2312" w:hAnsi="仿宋_GB2312" w:cs="仿宋_GB2312" w:eastAsia="仿宋_GB2312"/>
                      <w:sz w:val="20"/>
                    </w:rPr>
                    <w:t>等</w:t>
                  </w:r>
                  <w:r>
                    <w:rPr>
                      <w:rFonts w:ascii="仿宋_GB2312" w:hAnsi="仿宋_GB2312" w:cs="仿宋_GB2312" w:eastAsia="仿宋_GB2312"/>
                      <w:sz w:val="20"/>
                    </w:rPr>
                    <w:t>≥40项；</w:t>
                  </w:r>
                </w:p>
                <w:p>
                  <w:pPr>
                    <w:pStyle w:val="null3"/>
                    <w:jc w:val="left"/>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94"/>
                  <w:vMerge/>
                  <w:tcBorders>
                    <w:top w:val="none" w:color="000000" w:sz="4"/>
                    <w:left w:val="non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脉波形信息的定量化参数：</w:t>
                  </w:r>
                  <w:r>
                    <w:rPr>
                      <w:rFonts w:ascii="仿宋_GB2312" w:hAnsi="仿宋_GB2312" w:cs="仿宋_GB2312" w:eastAsia="仿宋_GB2312"/>
                      <w:sz w:val="20"/>
                    </w:rPr>
                    <w:t>MAP%、UT；</w:t>
                  </w:r>
                </w:p>
                <w:p>
                  <w:pPr>
                    <w:pStyle w:val="null3"/>
                    <w:jc w:val="left"/>
                  </w:p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94"/>
                  <w:vMerge/>
                  <w:tcBorders>
                    <w:top w:val="none" w:color="000000" w:sz="4"/>
                    <w:left w:val="non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R-R间隔检查</w:t>
                  </w:r>
                  <w:r>
                    <w:rPr>
                      <w:rFonts w:ascii="仿宋_GB2312" w:hAnsi="仿宋_GB2312" w:cs="仿宋_GB2312" w:eastAsia="仿宋_GB2312"/>
                      <w:sz w:val="20"/>
                    </w:rPr>
                    <w:t>、</w:t>
                  </w:r>
                  <w:r>
                    <w:rPr>
                      <w:rFonts w:ascii="仿宋_GB2312" w:hAnsi="仿宋_GB2312" w:cs="仿宋_GB2312" w:eastAsia="仿宋_GB2312"/>
                      <w:sz w:val="20"/>
                    </w:rPr>
                    <w:t>R-R间隔标准差、R-R间隔平均值、HR平均值、CVRR、对比曲线图</w:t>
                  </w:r>
                  <w:r>
                    <w:rPr>
                      <w:rFonts w:ascii="仿宋_GB2312" w:hAnsi="仿宋_GB2312" w:cs="仿宋_GB2312" w:eastAsia="仿宋_GB2312"/>
                      <w:sz w:val="20"/>
                    </w:rPr>
                    <w:t>、</w:t>
                  </w:r>
                  <w:r>
                    <w:rPr>
                      <w:rFonts w:ascii="仿宋_GB2312" w:hAnsi="仿宋_GB2312" w:cs="仿宋_GB2312" w:eastAsia="仿宋_GB2312"/>
                      <w:sz w:val="20"/>
                    </w:rPr>
                    <w:t>趋势曲线图，判断心血管自主神经功能</w:t>
                  </w:r>
                  <w:r>
                    <w:rPr>
                      <w:rFonts w:ascii="仿宋_GB2312" w:hAnsi="仿宋_GB2312" w:cs="仿宋_GB2312" w:eastAsia="仿宋_GB2312"/>
                      <w:sz w:val="20"/>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w:t>
                  </w:r>
                  <w:r>
                    <w:rPr>
                      <w:rFonts w:ascii="仿宋_GB2312" w:hAnsi="仿宋_GB2312" w:cs="仿宋_GB2312" w:eastAsia="仿宋_GB2312"/>
                      <w:sz w:val="20"/>
                    </w:rPr>
                    <w:t>与</w:t>
                  </w:r>
                  <w:r>
                    <w:rPr>
                      <w:rFonts w:ascii="仿宋_GB2312" w:hAnsi="仿宋_GB2312" w:cs="仿宋_GB2312" w:eastAsia="仿宋_GB2312"/>
                      <w:sz w:val="20"/>
                    </w:rPr>
                    <w:t>国家标准化代谢性疾病管理中心</w:t>
                  </w:r>
                  <w:r>
                    <w:rPr>
                      <w:rFonts w:ascii="仿宋_GB2312" w:hAnsi="仿宋_GB2312" w:cs="仿宋_GB2312" w:eastAsia="仿宋_GB2312"/>
                      <w:sz w:val="20"/>
                    </w:rPr>
                    <w:t>MMC软件平台对接，实现标准化数据传输</w:t>
                  </w:r>
                  <w:r>
                    <w:rPr>
                      <w:rFonts w:ascii="仿宋_GB2312" w:hAnsi="仿宋_GB2312" w:cs="仿宋_GB2312" w:eastAsia="仿宋_GB2312"/>
                      <w:sz w:val="20"/>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pPr>
      <w:r>
        <w:rPr>
          <w:rFonts w:ascii="仿宋_GB2312" w:hAnsi="仿宋_GB2312" w:cs="仿宋_GB2312" w:eastAsia="仿宋_GB2312"/>
        </w:rPr>
        <w:t>标的名称：骨密度检测仪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骨密度检测仪</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98"/>
              <w:gridCol w:w="182"/>
              <w:gridCol w:w="315"/>
              <w:gridCol w:w="962"/>
              <w:gridCol w:w="195"/>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重要性</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9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技术参数及要求</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是否提供证明资料</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测量部位</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左</w:t>
                  </w:r>
                  <w:r>
                    <w:rPr>
                      <w:rFonts w:ascii="仿宋_GB2312" w:hAnsi="仿宋_GB2312" w:cs="仿宋_GB2312" w:eastAsia="仿宋_GB2312"/>
                      <w:sz w:val="20"/>
                    </w:rPr>
                    <w:t>/右手臂前端尺桡骨</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测量位置</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手臂尺桡骨远端，桡骨</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1/6、1/10处</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测量方法</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双能</w:t>
                  </w:r>
                  <w:r>
                    <w:rPr>
                      <w:rFonts w:ascii="仿宋_GB2312" w:hAnsi="仿宋_GB2312" w:cs="仿宋_GB2312" w:eastAsia="仿宋_GB2312"/>
                      <w:sz w:val="20"/>
                    </w:rPr>
                    <w:t>X射线吸收法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测量方式</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前臂封闭进入</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成像技术</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锥形束面成像快速扫描技术</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X线加载电压</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高能</w:t>
                  </w:r>
                  <w:r>
                    <w:rPr>
                      <w:rFonts w:ascii="仿宋_GB2312" w:hAnsi="仿宋_GB2312" w:cs="仿宋_GB2312" w:eastAsia="仿宋_GB2312"/>
                      <w:sz w:val="20"/>
                    </w:rPr>
                    <w:t>≤</w:t>
                  </w:r>
                  <w:r>
                    <w:rPr>
                      <w:rFonts w:ascii="仿宋_GB2312" w:hAnsi="仿宋_GB2312" w:cs="仿宋_GB2312" w:eastAsia="仿宋_GB2312"/>
                      <w:sz w:val="20"/>
                    </w:rPr>
                    <w:t>85</w:t>
                  </w:r>
                  <w:r>
                    <w:rPr>
                      <w:rFonts w:ascii="仿宋_GB2312" w:hAnsi="仿宋_GB2312" w:cs="仿宋_GB2312" w:eastAsia="仿宋_GB2312"/>
                      <w:sz w:val="20"/>
                    </w:rPr>
                    <w:t>Kv，低能≤</w:t>
                  </w:r>
                  <w:r>
                    <w:rPr>
                      <w:rFonts w:ascii="仿宋_GB2312" w:hAnsi="仿宋_GB2312" w:cs="仿宋_GB2312" w:eastAsia="仿宋_GB2312"/>
                      <w:sz w:val="20"/>
                    </w:rPr>
                    <w:t>5</w:t>
                  </w:r>
                  <w:r>
                    <w:rPr>
                      <w:rFonts w:ascii="仿宋_GB2312" w:hAnsi="仿宋_GB2312" w:cs="仿宋_GB2312" w:eastAsia="仿宋_GB2312"/>
                      <w:sz w:val="20"/>
                    </w:rPr>
                    <w:t>5Kv</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管电压偏差</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X射线管电压偏差≤±10%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X射线管电流</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高能</w:t>
                  </w:r>
                  <w:r>
                    <w:rPr>
                      <w:rFonts w:ascii="仿宋_GB2312" w:hAnsi="仿宋_GB2312" w:cs="仿宋_GB2312" w:eastAsia="仿宋_GB2312"/>
                      <w:sz w:val="20"/>
                    </w:rPr>
                    <w:t>≤0.25mA，低能</w:t>
                  </w:r>
                  <w:r>
                    <w:rPr>
                      <w:rFonts w:ascii="仿宋_GB2312" w:hAnsi="仿宋_GB2312" w:cs="仿宋_GB2312" w:eastAsia="仿宋_GB2312"/>
                      <w:sz w:val="20"/>
                    </w:rPr>
                    <w:t>≥</w:t>
                  </w:r>
                  <w:r>
                    <w:rPr>
                      <w:rFonts w:ascii="仿宋_GB2312" w:hAnsi="仿宋_GB2312" w:cs="仿宋_GB2312" w:eastAsia="仿宋_GB2312"/>
                      <w:sz w:val="20"/>
                    </w:rPr>
                    <w:t>0.45mA</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管电流偏差</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X射线管电流值偏差≤±</w:t>
                  </w:r>
                  <w:r>
                    <w:rPr>
                      <w:rFonts w:ascii="仿宋_GB2312" w:hAnsi="仿宋_GB2312" w:cs="仿宋_GB2312" w:eastAsia="仿宋_GB2312"/>
                      <w:sz w:val="20"/>
                    </w:rPr>
                    <w:t>15</w:t>
                  </w:r>
                  <w:r>
                    <w:rPr>
                      <w:rFonts w:ascii="仿宋_GB2312" w:hAnsi="仿宋_GB2312" w:cs="仿宋_GB2312" w:eastAsia="仿宋_GB2312"/>
                      <w:sz w:val="2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曝光采集时间</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秒</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准确度误差</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测量准确度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0.8</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提供证明资料</w:t>
                  </w:r>
                  <w:r>
                    <w:rPr>
                      <w:rFonts w:ascii="仿宋_GB2312" w:hAnsi="仿宋_GB2312" w:cs="仿宋_GB2312" w:eastAsia="仿宋_GB2312"/>
                      <w:sz w:val="20"/>
                      <w:color w:val="00000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同日</w:t>
                  </w:r>
                  <w:r>
                    <w:rPr>
                      <w:rFonts w:ascii="仿宋_GB2312" w:hAnsi="仿宋_GB2312" w:cs="仿宋_GB2312" w:eastAsia="仿宋_GB2312"/>
                      <w:sz w:val="20"/>
                    </w:rPr>
                    <w:t>重复性误差</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对同一体膜在同日进行重复测量，所测骨密度的同日变异系数</w:t>
                  </w:r>
                  <w:r>
                    <w:rPr>
                      <w:rFonts w:ascii="仿宋_GB2312" w:hAnsi="仿宋_GB2312" w:cs="仿宋_GB2312" w:eastAsia="仿宋_GB2312"/>
                      <w:sz w:val="20"/>
                      <w:color w:val="000000"/>
                    </w:rPr>
                    <w:t>CV≤0.</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提供证明资料</w:t>
                  </w:r>
                  <w:r>
                    <w:rPr>
                      <w:rFonts w:ascii="仿宋_GB2312" w:hAnsi="仿宋_GB2312" w:cs="仿宋_GB2312" w:eastAsia="仿宋_GB2312"/>
                      <w:sz w:val="20"/>
                      <w:color w:val="00000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多日</w:t>
                  </w:r>
                  <w:r>
                    <w:rPr>
                      <w:rFonts w:ascii="仿宋_GB2312" w:hAnsi="仿宋_GB2312" w:cs="仿宋_GB2312" w:eastAsia="仿宋_GB2312"/>
                      <w:sz w:val="20"/>
                    </w:rPr>
                    <w:t>重复性误差</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对同一体膜在</w:t>
                  </w:r>
                  <w:r>
                    <w:rPr>
                      <w:rFonts w:ascii="仿宋_GB2312" w:hAnsi="仿宋_GB2312" w:cs="仿宋_GB2312" w:eastAsia="仿宋_GB2312"/>
                      <w:sz w:val="20"/>
                      <w:color w:val="000000"/>
                    </w:rPr>
                    <w:t>多日</w:t>
                  </w:r>
                  <w:r>
                    <w:rPr>
                      <w:rFonts w:ascii="仿宋_GB2312" w:hAnsi="仿宋_GB2312" w:cs="仿宋_GB2312" w:eastAsia="仿宋_GB2312"/>
                      <w:sz w:val="20"/>
                      <w:color w:val="000000"/>
                    </w:rPr>
                    <w:t>进行重复测量，所测骨密度的</w:t>
                  </w:r>
                  <w:r>
                    <w:rPr>
                      <w:rFonts w:ascii="仿宋_GB2312" w:hAnsi="仿宋_GB2312" w:cs="仿宋_GB2312" w:eastAsia="仿宋_GB2312"/>
                      <w:sz w:val="20"/>
                      <w:color w:val="000000"/>
                    </w:rPr>
                    <w:t>多日</w:t>
                  </w:r>
                  <w:r>
                    <w:rPr>
                      <w:rFonts w:ascii="仿宋_GB2312" w:hAnsi="仿宋_GB2312" w:cs="仿宋_GB2312" w:eastAsia="仿宋_GB2312"/>
                      <w:sz w:val="20"/>
                      <w:color w:val="000000"/>
                    </w:rPr>
                    <w:t>变异系数</w:t>
                  </w:r>
                  <w:r>
                    <w:rPr>
                      <w:rFonts w:ascii="仿宋_GB2312" w:hAnsi="仿宋_GB2312" w:cs="仿宋_GB2312" w:eastAsia="仿宋_GB2312"/>
                      <w:sz w:val="20"/>
                      <w:color w:val="000000"/>
                    </w:rPr>
                    <w:t>CV≤0.</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提供证明资料</w:t>
                  </w:r>
                  <w:r>
                    <w:rPr>
                      <w:rFonts w:ascii="仿宋_GB2312" w:hAnsi="仿宋_GB2312" w:cs="仿宋_GB2312" w:eastAsia="仿宋_GB2312"/>
                      <w:sz w:val="20"/>
                      <w:color w:val="00000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远台操作</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操作医生与</w:t>
                  </w:r>
                  <w:r>
                    <w:rPr>
                      <w:rFonts w:ascii="仿宋_GB2312" w:hAnsi="仿宋_GB2312" w:cs="仿宋_GB2312" w:eastAsia="仿宋_GB2312"/>
                      <w:sz w:val="20"/>
                    </w:rPr>
                    <w:t>X光源距离达到2米</w:t>
                  </w:r>
                  <w:r>
                    <w:rPr>
                      <w:rFonts w:ascii="仿宋_GB2312" w:hAnsi="仿宋_GB2312" w:cs="仿宋_GB2312" w:eastAsia="仿宋_GB2312"/>
                      <w:sz w:val="20"/>
                    </w:rPr>
                    <w:t>—</w:t>
                  </w:r>
                  <w:r>
                    <w:rPr>
                      <w:rFonts w:ascii="仿宋_GB2312" w:hAnsi="仿宋_GB2312" w:cs="仿宋_GB2312" w:eastAsia="仿宋_GB2312"/>
                      <w:sz w:val="20"/>
                    </w:rPr>
                    <w:t>3米距离</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3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射线主机防护</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具备</w:t>
                  </w:r>
                  <w:r>
                    <w:rPr>
                      <w:rFonts w:ascii="仿宋_GB2312" w:hAnsi="仿宋_GB2312" w:cs="仿宋_GB2312" w:eastAsia="仿宋_GB2312"/>
                      <w:sz w:val="20"/>
                    </w:rPr>
                    <w:t>机身内部铅防护设计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315"/>
                  <w:vMerge/>
                  <w:tcBorders>
                    <w:top w:val="none" w:color="000000" w:sz="4"/>
                    <w:left w:val="none" w:color="000000" w:sz="4"/>
                    <w:bottom w:val="single" w:color="000000" w:sz="4"/>
                    <w:right w:val="single" w:color="000000" w:sz="4"/>
                  </w:tcBorders>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检测窗口采用防护罩方式，射线得到有效防护</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辐射泄漏量</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X线散射剂量</w:t>
                  </w:r>
                  <w:r>
                    <w:rPr>
                      <w:rFonts w:ascii="仿宋_GB2312" w:hAnsi="仿宋_GB2312" w:cs="仿宋_GB2312" w:eastAsia="仿宋_GB2312"/>
                      <w:sz w:val="20"/>
                    </w:rPr>
                    <w:t>≤</w:t>
                  </w:r>
                  <w:r>
                    <w:rPr>
                      <w:rFonts w:ascii="仿宋_GB2312" w:hAnsi="仿宋_GB2312" w:cs="仿宋_GB2312" w:eastAsia="仿宋_GB2312"/>
                      <w:sz w:val="20"/>
                    </w:rPr>
                    <w:t xml:space="preserve">2.5μSv/h  </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w:t>
                  </w:r>
                  <w:r>
                    <w:rPr>
                      <w:rFonts w:ascii="仿宋_GB2312" w:hAnsi="仿宋_GB2312" w:cs="仿宋_GB2312" w:eastAsia="仿宋_GB2312"/>
                      <w:sz w:val="20"/>
                    </w:rPr>
                    <w:t>射线束视野</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成</w:t>
                  </w:r>
                  <w:r>
                    <w:rPr>
                      <w:rFonts w:ascii="仿宋_GB2312" w:hAnsi="仿宋_GB2312" w:cs="仿宋_GB2312" w:eastAsia="仿宋_GB2312"/>
                      <w:sz w:val="20"/>
                      <w:color w:val="000000"/>
                    </w:rPr>
                    <w:t>矩形</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提供证明资料</w:t>
                  </w:r>
                  <w:r>
                    <w:rPr>
                      <w:rFonts w:ascii="仿宋_GB2312" w:hAnsi="仿宋_GB2312" w:cs="仿宋_GB2312" w:eastAsia="仿宋_GB2312"/>
                      <w:sz w:val="20"/>
                      <w:color w:val="00000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测量面积</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测量面积</w:t>
                  </w:r>
                  <w:r>
                    <w:rPr>
                      <w:rFonts w:ascii="仿宋_GB2312" w:hAnsi="仿宋_GB2312" w:cs="仿宋_GB2312" w:eastAsia="仿宋_GB2312"/>
                      <w:sz w:val="20"/>
                      <w:color w:val="000000"/>
                    </w:rPr>
                    <w:t>≥1</w:t>
                  </w:r>
                  <w:r>
                    <w:rPr>
                      <w:rFonts w:ascii="仿宋_GB2312" w:hAnsi="仿宋_GB2312" w:cs="仿宋_GB2312" w:eastAsia="仿宋_GB2312"/>
                      <w:sz w:val="20"/>
                      <w:color w:val="000000"/>
                    </w:rPr>
                    <w:t>00</w:t>
                  </w:r>
                  <w:r>
                    <w:rPr>
                      <w:rFonts w:ascii="仿宋_GB2312" w:hAnsi="仿宋_GB2312" w:cs="仿宋_GB2312" w:eastAsia="仿宋_GB2312"/>
                      <w:sz w:val="20"/>
                      <w:color w:val="000000"/>
                    </w:rPr>
                    <w:t>mm*</w:t>
                  </w:r>
                  <w:r>
                    <w:rPr>
                      <w:rFonts w:ascii="仿宋_GB2312" w:hAnsi="仿宋_GB2312" w:cs="仿宋_GB2312" w:eastAsia="仿宋_GB2312"/>
                      <w:sz w:val="20"/>
                      <w:color w:val="000000"/>
                    </w:rPr>
                    <w:t>75</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提供证明资料</w:t>
                  </w:r>
                  <w:r>
                    <w:rPr>
                      <w:rFonts w:ascii="仿宋_GB2312" w:hAnsi="仿宋_GB2312" w:cs="仿宋_GB2312" w:eastAsia="仿宋_GB2312"/>
                      <w:sz w:val="20"/>
                      <w:color w:val="00000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焦点与皮肤距离</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180</w:t>
                  </w:r>
                  <w:r>
                    <w:rPr>
                      <w:rFonts w:ascii="仿宋_GB2312" w:hAnsi="仿宋_GB2312" w:cs="仿宋_GB2312" w:eastAsia="仿宋_GB2312"/>
                      <w:sz w:val="20"/>
                      <w:color w:val="000000"/>
                    </w:rPr>
                    <w:t>mm</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骨密度测量范围</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r>
                    <w:rPr>
                      <w:rFonts w:ascii="仿宋_GB2312" w:hAnsi="仿宋_GB2312" w:cs="仿宋_GB2312" w:eastAsia="仿宋_GB2312"/>
                      <w:sz w:val="20"/>
                    </w:rPr>
                    <w:t>～</w:t>
                  </w:r>
                  <w:r>
                    <w:rPr>
                      <w:rFonts w:ascii="仿宋_GB2312" w:hAnsi="仿宋_GB2312" w:cs="仿宋_GB2312" w:eastAsia="仿宋_GB2312"/>
                      <w:sz w:val="20"/>
                    </w:rPr>
                    <w:t>1.3g/cm</w:t>
                  </w:r>
                  <w:r>
                    <w:rPr>
                      <w:rFonts w:ascii="仿宋_GB2312" w:hAnsi="仿宋_GB2312" w:cs="仿宋_GB2312" w:eastAsia="仿宋_GB2312"/>
                      <w:sz w:val="20"/>
                    </w:rPr>
                    <w:t>²</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测量结果</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T-值、Z-值、BMD、BMC、面积、成人百分比、同龄百分比、骨质指数、BMI、预计发生骨质疏松年龄、骨折风险系</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提供证明资料</w:t>
                  </w:r>
                  <w:r>
                    <w:rPr>
                      <w:rFonts w:ascii="仿宋_GB2312" w:hAnsi="仿宋_GB2312" w:cs="仿宋_GB2312" w:eastAsia="仿宋_GB2312"/>
                      <w:sz w:val="20"/>
                      <w:color w:val="000000"/>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3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系统软件功能</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全中文操作软件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315"/>
                  <w:vMerge/>
                  <w:tcBorders>
                    <w:top w:val="none" w:color="000000" w:sz="4"/>
                    <w:left w:val="none" w:color="000000" w:sz="4"/>
                    <w:bottom w:val="single" w:color="000000" w:sz="4"/>
                    <w:right w:val="single" w:color="000000" w:sz="4"/>
                  </w:tcBorders>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具备</w:t>
                  </w:r>
                  <w:r>
                    <w:rPr>
                      <w:rFonts w:ascii="仿宋_GB2312" w:hAnsi="仿宋_GB2312" w:cs="仿宋_GB2312" w:eastAsia="仿宋_GB2312"/>
                      <w:sz w:val="20"/>
                    </w:rPr>
                    <w:t>自动质控体膜校准功能</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315"/>
                  <w:vMerge/>
                  <w:tcBorders>
                    <w:top w:val="none" w:color="000000" w:sz="4"/>
                    <w:left w:val="none" w:color="000000" w:sz="4"/>
                    <w:bottom w:val="single" w:color="000000" w:sz="4"/>
                    <w:right w:val="single" w:color="000000" w:sz="4"/>
                  </w:tcBorders>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w:t>
                  </w:r>
                  <w:r>
                    <w:rPr>
                      <w:rFonts w:ascii="仿宋_GB2312" w:hAnsi="仿宋_GB2312" w:cs="仿宋_GB2312" w:eastAsia="仿宋_GB2312"/>
                      <w:sz w:val="20"/>
                    </w:rPr>
                    <w:t>备</w:t>
                  </w:r>
                  <w:r>
                    <w:rPr>
                      <w:rFonts w:ascii="仿宋_GB2312" w:hAnsi="仿宋_GB2312" w:cs="仿宋_GB2312" w:eastAsia="仿宋_GB2312"/>
                      <w:sz w:val="20"/>
                    </w:rPr>
                    <w:t>自动判断与人工判断功能可选</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315"/>
                  <w:vMerge/>
                  <w:tcBorders>
                    <w:top w:val="none" w:color="000000" w:sz="4"/>
                    <w:left w:val="none" w:color="000000" w:sz="4"/>
                    <w:bottom w:val="single" w:color="000000" w:sz="4"/>
                    <w:right w:val="single" w:color="000000" w:sz="4"/>
                  </w:tcBorders>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中文彩色结果报告（三色图）</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315"/>
                  <w:vMerge/>
                  <w:tcBorders>
                    <w:top w:val="none" w:color="000000" w:sz="4"/>
                    <w:left w:val="none" w:color="000000" w:sz="4"/>
                    <w:bottom w:val="single" w:color="000000" w:sz="4"/>
                    <w:right w:val="single" w:color="000000" w:sz="4"/>
                  </w:tcBorders>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w:t>
                  </w:r>
                  <w:r>
                    <w:rPr>
                      <w:rFonts w:ascii="仿宋_GB2312" w:hAnsi="仿宋_GB2312" w:cs="仿宋_GB2312" w:eastAsia="仿宋_GB2312"/>
                      <w:sz w:val="20"/>
                    </w:rPr>
                    <w:t>备</w:t>
                  </w:r>
                  <w:r>
                    <w:rPr>
                      <w:rFonts w:ascii="仿宋_GB2312" w:hAnsi="仿宋_GB2312" w:cs="仿宋_GB2312" w:eastAsia="仿宋_GB2312"/>
                      <w:sz w:val="20"/>
                    </w:rPr>
                    <w:t>病历姓名纠错功能</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315"/>
                  <w:vMerge/>
                  <w:tcBorders>
                    <w:top w:val="none" w:color="000000" w:sz="4"/>
                    <w:left w:val="none" w:color="000000" w:sz="4"/>
                    <w:bottom w:val="single" w:color="000000" w:sz="4"/>
                    <w:right w:val="single" w:color="000000" w:sz="4"/>
                  </w:tcBorders>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w:t>
                  </w:r>
                  <w:r>
                    <w:rPr>
                      <w:rFonts w:ascii="仿宋_GB2312" w:hAnsi="仿宋_GB2312" w:cs="仿宋_GB2312" w:eastAsia="仿宋_GB2312"/>
                      <w:sz w:val="20"/>
                    </w:rPr>
                    <w:t>备</w:t>
                  </w:r>
                  <w:r>
                    <w:rPr>
                      <w:rFonts w:ascii="仿宋_GB2312" w:hAnsi="仿宋_GB2312" w:cs="仿宋_GB2312" w:eastAsia="仿宋_GB2312"/>
                      <w:sz w:val="20"/>
                    </w:rPr>
                    <w:t>≥</w:t>
                  </w:r>
                  <w:r>
                    <w:rPr>
                      <w:rFonts w:ascii="仿宋_GB2312" w:hAnsi="仿宋_GB2312" w:cs="仿宋_GB2312" w:eastAsia="仿宋_GB2312"/>
                      <w:sz w:val="20"/>
                    </w:rPr>
                    <w:t>六种条件统计分析功能，为医生提供更多的病例信息</w:t>
                  </w:r>
                </w:p>
                <w:p>
                  <w:pPr>
                    <w:pStyle w:val="null3"/>
                    <w:jc w:val="both"/>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315"/>
                  <w:vMerge/>
                  <w:tcBorders>
                    <w:top w:val="none" w:color="000000" w:sz="4"/>
                    <w:left w:val="none" w:color="000000" w:sz="4"/>
                    <w:bottom w:val="single" w:color="000000" w:sz="4"/>
                    <w:right w:val="single" w:color="000000" w:sz="4"/>
                  </w:tcBorders>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w:t>
                  </w:r>
                  <w:r>
                    <w:rPr>
                      <w:rFonts w:ascii="仿宋_GB2312" w:hAnsi="仿宋_GB2312" w:cs="仿宋_GB2312" w:eastAsia="仿宋_GB2312"/>
                      <w:sz w:val="20"/>
                    </w:rPr>
                    <w:t>备</w:t>
                  </w:r>
                  <w:r>
                    <w:rPr>
                      <w:rFonts w:ascii="仿宋_GB2312" w:hAnsi="仿宋_GB2312" w:cs="仿宋_GB2312" w:eastAsia="仿宋_GB2312"/>
                      <w:sz w:val="20"/>
                    </w:rPr>
                    <w:t>饼状统计与表格统计功能，便于医生对病例进行分析</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315"/>
                  <w:vMerge/>
                  <w:tcBorders>
                    <w:top w:val="none" w:color="000000" w:sz="4"/>
                    <w:left w:val="none" w:color="000000" w:sz="4"/>
                    <w:bottom w:val="single" w:color="000000" w:sz="4"/>
                    <w:right w:val="single" w:color="000000" w:sz="4"/>
                  </w:tcBorders>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w:t>
                  </w:r>
                  <w:r>
                    <w:rPr>
                      <w:rFonts w:ascii="仿宋_GB2312" w:hAnsi="仿宋_GB2312" w:cs="仿宋_GB2312" w:eastAsia="仿宋_GB2312"/>
                      <w:sz w:val="20"/>
                    </w:rPr>
                    <w:t>进行多部位独立计算、</w:t>
                  </w:r>
                  <w:r>
                    <w:rPr>
                      <w:rFonts w:ascii="仿宋_GB2312" w:hAnsi="仿宋_GB2312" w:cs="仿宋_GB2312" w:eastAsia="仿宋_GB2312"/>
                      <w:sz w:val="20"/>
                    </w:rPr>
                    <w:t>BMC（g）BMD(g/cm)</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315"/>
                  <w:vMerge/>
                  <w:tcBorders>
                    <w:top w:val="none" w:color="000000" w:sz="4"/>
                    <w:left w:val="none" w:color="000000" w:sz="4"/>
                    <w:bottom w:val="single" w:color="000000" w:sz="4"/>
                    <w:right w:val="single" w:color="000000" w:sz="4"/>
                  </w:tcBorders>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可与国家标准化代谢性疾病管理中心</w:t>
                  </w:r>
                  <w:r>
                    <w:rPr>
                      <w:rFonts w:ascii="仿宋_GB2312" w:hAnsi="仿宋_GB2312" w:cs="仿宋_GB2312" w:eastAsia="仿宋_GB2312"/>
                      <w:sz w:val="20"/>
                    </w:rPr>
                    <w:t>MMC软件平台对接，实现标准化数据传输</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数据库</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30"/>
                    <w:jc w:val="left"/>
                  </w:pPr>
                  <w:r>
                    <w:rPr>
                      <w:rFonts w:ascii="仿宋_GB2312" w:hAnsi="仿宋_GB2312" w:cs="仿宋_GB2312" w:eastAsia="仿宋_GB2312"/>
                      <w:sz w:val="20"/>
                    </w:rPr>
                    <w:t>具备</w:t>
                  </w:r>
                  <w:r>
                    <w:rPr>
                      <w:rFonts w:ascii="仿宋_GB2312" w:hAnsi="仿宋_GB2312" w:cs="仿宋_GB2312" w:eastAsia="仿宋_GB2312"/>
                      <w:sz w:val="20"/>
                    </w:rPr>
                    <w:t>多人种数据库</w:t>
                  </w:r>
                  <w:r>
                    <w:rPr>
                      <w:rFonts w:ascii="仿宋_GB2312" w:hAnsi="仿宋_GB2312" w:cs="仿宋_GB2312" w:eastAsia="仿宋_GB2312"/>
                      <w:sz w:val="20"/>
                    </w:rPr>
                    <w:t>；</w:t>
                  </w:r>
                  <w:r>
                    <w:rPr>
                      <w:rFonts w:ascii="仿宋_GB2312" w:hAnsi="仿宋_GB2312" w:cs="仿宋_GB2312" w:eastAsia="仿宋_GB2312"/>
                      <w:sz w:val="20"/>
                    </w:rPr>
                    <w:t>具</w:t>
                  </w:r>
                  <w:r>
                    <w:rPr>
                      <w:rFonts w:ascii="仿宋_GB2312" w:hAnsi="仿宋_GB2312" w:cs="仿宋_GB2312" w:eastAsia="仿宋_GB2312"/>
                      <w:sz w:val="20"/>
                    </w:rPr>
                    <w:t>备</w:t>
                  </w:r>
                  <w:r>
                    <w:rPr>
                      <w:rFonts w:ascii="仿宋_GB2312" w:hAnsi="仿宋_GB2312" w:cs="仿宋_GB2312" w:eastAsia="仿宋_GB2312"/>
                      <w:sz w:val="20"/>
                    </w:rPr>
                    <w:t>老年人数据</w:t>
                  </w:r>
                  <w:r>
                    <w:rPr>
                      <w:rFonts w:ascii="仿宋_GB2312" w:hAnsi="仿宋_GB2312" w:cs="仿宋_GB2312" w:eastAsia="仿宋_GB2312"/>
                      <w:sz w:val="20"/>
                    </w:rPr>
                    <w:t>，可同时</w:t>
                  </w:r>
                </w:p>
                <w:p>
                  <w:pPr>
                    <w:pStyle w:val="null3"/>
                    <w:jc w:val="both"/>
                  </w:pPr>
                  <w:r>
                    <w:rPr>
                      <w:rFonts w:ascii="仿宋_GB2312" w:hAnsi="仿宋_GB2312" w:cs="仿宋_GB2312" w:eastAsia="仿宋_GB2312"/>
                      <w:sz w:val="20"/>
                    </w:rPr>
                    <w:t>存储病人病历及图片</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工作电压</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30"/>
                    <w:jc w:val="left"/>
                  </w:pPr>
                  <w:r>
                    <w:rPr>
                      <w:rFonts w:ascii="仿宋_GB2312" w:hAnsi="仿宋_GB2312" w:cs="仿宋_GB2312" w:eastAsia="仿宋_GB2312"/>
                      <w:sz w:val="20"/>
                    </w:rPr>
                    <w:t>220V±10%，50Hz</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30"/>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3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工作站配置</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i</w:t>
                  </w:r>
                  <w:r>
                    <w:rPr>
                      <w:rFonts w:ascii="仿宋_GB2312" w:hAnsi="仿宋_GB2312" w:cs="仿宋_GB2312" w:eastAsia="仿宋_GB2312"/>
                      <w:sz w:val="20"/>
                    </w:rPr>
                    <w:t>5</w:t>
                  </w:r>
                  <w:r>
                    <w:rPr>
                      <w:rFonts w:ascii="仿宋_GB2312" w:hAnsi="仿宋_GB2312" w:cs="仿宋_GB2312" w:eastAsia="仿宋_GB2312"/>
                      <w:sz w:val="20"/>
                    </w:rPr>
                    <w:t>配置，</w:t>
                  </w:r>
                  <w:r>
                    <w:rPr>
                      <w:rFonts w:ascii="仿宋_GB2312" w:hAnsi="仿宋_GB2312" w:cs="仿宋_GB2312" w:eastAsia="仿宋_GB2312"/>
                      <w:sz w:val="20"/>
                    </w:rPr>
                    <w:t>CPU四核</w:t>
                  </w:r>
                  <w:r>
                    <w:rPr>
                      <w:rFonts w:ascii="仿宋_GB2312" w:hAnsi="仿宋_GB2312" w:cs="仿宋_GB2312" w:eastAsia="仿宋_GB2312"/>
                      <w:sz w:val="20"/>
                    </w:rPr>
                    <w:t>，内存</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G</w:t>
                  </w:r>
                  <w:r>
                    <w:rPr>
                      <w:rFonts w:ascii="仿宋_GB2312" w:hAnsi="仿宋_GB2312" w:cs="仿宋_GB2312" w:eastAsia="仿宋_GB2312"/>
                      <w:sz w:val="20"/>
                    </w:rPr>
                    <w:t>，固态硬盘</w:t>
                  </w:r>
                  <w:r>
                    <w:rPr>
                      <w:rFonts w:ascii="仿宋_GB2312" w:hAnsi="仿宋_GB2312" w:cs="仿宋_GB2312" w:eastAsia="仿宋_GB2312"/>
                      <w:sz w:val="20"/>
                    </w:rPr>
                    <w:t>≥</w:t>
                  </w:r>
                  <w:r>
                    <w:rPr>
                      <w:rFonts w:ascii="仿宋_GB2312" w:hAnsi="仿宋_GB2312" w:cs="仿宋_GB2312" w:eastAsia="仿宋_GB2312"/>
                      <w:sz w:val="20"/>
                    </w:rPr>
                    <w:t>1T</w:t>
                  </w:r>
                  <w:r>
                    <w:rPr>
                      <w:rFonts w:ascii="仿宋_GB2312" w:hAnsi="仿宋_GB2312" w:cs="仿宋_GB2312" w:eastAsia="仿宋_GB2312"/>
                      <w:sz w:val="20"/>
                    </w:rPr>
                    <w:t>，</w:t>
                  </w:r>
                  <w:r>
                    <w:rPr>
                      <w:rFonts w:ascii="仿宋_GB2312" w:hAnsi="仿宋_GB2312" w:cs="仿宋_GB2312" w:eastAsia="仿宋_GB2312"/>
                      <w:sz w:val="20"/>
                    </w:rPr>
                    <w:t>显示器</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1.5英寸</w:t>
                  </w:r>
                </w:p>
                <w:p>
                  <w:pPr>
                    <w:pStyle w:val="null3"/>
                    <w:jc w:val="both"/>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315"/>
                  <w:vMerge/>
                  <w:tcBorders>
                    <w:top w:val="none" w:color="000000" w:sz="4"/>
                    <w:left w:val="none" w:color="000000" w:sz="4"/>
                    <w:bottom w:val="single" w:color="000000" w:sz="4"/>
                    <w:right w:val="single" w:color="000000" w:sz="4"/>
                  </w:tcBorders>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移动工作推车</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315"/>
                  <w:vMerge/>
                  <w:tcBorders>
                    <w:top w:val="none" w:color="000000" w:sz="4"/>
                    <w:left w:val="none" w:color="000000" w:sz="4"/>
                    <w:bottom w:val="single" w:color="000000" w:sz="4"/>
                    <w:right w:val="single" w:color="000000" w:sz="4"/>
                  </w:tcBorders>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移动射线主机摆台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315"/>
                  <w:vMerge/>
                  <w:tcBorders>
                    <w:top w:val="none" w:color="000000" w:sz="4"/>
                    <w:left w:val="none" w:color="000000" w:sz="4"/>
                    <w:bottom w:val="single" w:color="000000" w:sz="4"/>
                    <w:right w:val="single" w:color="000000" w:sz="4"/>
                  </w:tcBorders>
                </w:tcP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射线主机铅衣防护</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标的名称：眼底相机</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眼底相机</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79"/>
              <w:gridCol w:w="127"/>
              <w:gridCol w:w="337"/>
              <w:gridCol w:w="963"/>
              <w:gridCol w:w="243"/>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重要性</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9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技术参数及要求</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是否提供证明资料</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具备</w:t>
                  </w:r>
                  <w:r>
                    <w:rPr>
                      <w:rFonts w:ascii="仿宋_GB2312" w:hAnsi="仿宋_GB2312" w:cs="仿宋_GB2312" w:eastAsia="仿宋_GB2312"/>
                      <w:sz w:val="20"/>
                    </w:rPr>
                    <w:t>眼科远程</w:t>
                  </w:r>
                  <w:r>
                    <w:rPr>
                      <w:rFonts w:ascii="仿宋_GB2312" w:hAnsi="仿宋_GB2312" w:cs="仿宋_GB2312" w:eastAsia="仿宋_GB2312"/>
                      <w:sz w:val="20"/>
                    </w:rPr>
                    <w:t>PACS系统数据共享</w:t>
                  </w:r>
                  <w:r>
                    <w:rPr>
                      <w:rFonts w:ascii="仿宋_GB2312" w:hAnsi="仿宋_GB2312" w:cs="仿宋_GB2312" w:eastAsia="仿宋_GB2312"/>
                      <w:sz w:val="20"/>
                    </w:rPr>
                    <w:t>连接</w:t>
                  </w:r>
                  <w:r>
                    <w:rPr>
                      <w:rFonts w:ascii="仿宋_GB2312" w:hAnsi="仿宋_GB2312" w:cs="仿宋_GB2312" w:eastAsia="仿宋_GB2312"/>
                      <w:sz w:val="20"/>
                    </w:rPr>
                    <w:t>端口</w:t>
                  </w:r>
                  <w:r>
                    <w:rPr>
                      <w:rFonts w:ascii="仿宋_GB2312" w:hAnsi="仿宋_GB2312" w:cs="仿宋_GB2312" w:eastAsia="仿宋_GB2312"/>
                      <w:sz w:val="2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免散瞳</w:t>
                  </w:r>
                  <w:r>
                    <w:rPr>
                      <w:rFonts w:ascii="仿宋_GB2312" w:hAnsi="仿宋_GB2312" w:cs="仿宋_GB2312" w:eastAsia="仿宋_GB2312"/>
                      <w:sz w:val="20"/>
                    </w:rPr>
                    <w:t>/散瞳彩照/无赤光</w:t>
                  </w:r>
                  <w:r>
                    <w:rPr>
                      <w:rFonts w:ascii="仿宋_GB2312" w:hAnsi="仿宋_GB2312" w:cs="仿宋_GB2312" w:eastAsia="仿宋_GB2312"/>
                      <w:sz w:val="2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一键操作</w:t>
                  </w:r>
                  <w:r>
                    <w:rPr>
                      <w:rFonts w:ascii="仿宋_GB2312" w:hAnsi="仿宋_GB2312" w:cs="仿宋_GB2312" w:eastAsia="仿宋_GB2312"/>
                      <w:sz w:val="20"/>
                    </w:rPr>
                    <w:t>可使</w:t>
                  </w:r>
                  <w:r>
                    <w:rPr>
                      <w:rFonts w:ascii="仿宋_GB2312" w:hAnsi="仿宋_GB2312" w:cs="仿宋_GB2312" w:eastAsia="仿宋_GB2312"/>
                      <w:sz w:val="20"/>
                    </w:rPr>
                    <w:t>眼前节眼底同时成像，左右眼同时摄像</w:t>
                  </w:r>
                  <w:r>
                    <w:rPr>
                      <w:rFonts w:ascii="仿宋_GB2312" w:hAnsi="仿宋_GB2312" w:cs="仿宋_GB2312" w:eastAsia="仿宋_GB2312"/>
                      <w:sz w:val="20"/>
                    </w:rPr>
                    <w:t>；</w:t>
                  </w:r>
                </w:p>
                <w:p>
                  <w:pPr>
                    <w:pStyle w:val="null3"/>
                    <w:jc w:val="left"/>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视场角度</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视场角</w:t>
                  </w:r>
                  <w:r>
                    <w:rPr>
                      <w:rFonts w:ascii="仿宋_GB2312" w:hAnsi="仿宋_GB2312" w:cs="仿宋_GB2312" w:eastAsia="仿宋_GB2312"/>
                      <w:sz w:val="20"/>
                    </w:rPr>
                    <w:t>：</w:t>
                  </w:r>
                  <w:r>
                    <w:rPr>
                      <w:rFonts w:ascii="仿宋_GB2312" w:hAnsi="仿宋_GB2312" w:cs="仿宋_GB2312" w:eastAsia="仿宋_GB2312"/>
                      <w:sz w:val="20"/>
                    </w:rPr>
                    <w:t>45-55</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屈光不正补偿范围</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±30D</w:t>
                  </w:r>
                  <w:r>
                    <w:rPr>
                      <w:rFonts w:ascii="仿宋_GB2312" w:hAnsi="仿宋_GB2312" w:cs="仿宋_GB2312" w:eastAsia="仿宋_GB2312"/>
                      <w:sz w:val="2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内置专用相机</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采集像素</w:t>
                  </w:r>
                  <w:r>
                    <w:rPr>
                      <w:rFonts w:ascii="仿宋_GB2312" w:hAnsi="仿宋_GB2312" w:cs="仿宋_GB2312" w:eastAsia="仿宋_GB2312"/>
                      <w:sz w:val="20"/>
                    </w:rPr>
                    <w:t>≥2400万</w:t>
                  </w:r>
                  <w:r>
                    <w:rPr>
                      <w:rFonts w:ascii="仿宋_GB2312" w:hAnsi="仿宋_GB2312" w:cs="仿宋_GB2312" w:eastAsia="仿宋_GB2312"/>
                      <w:sz w:val="2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观察光源</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显色指数</w:t>
                  </w:r>
                  <w:r>
                    <w:rPr>
                      <w:rFonts w:ascii="仿宋_GB2312" w:hAnsi="仿宋_GB2312" w:cs="仿宋_GB2312" w:eastAsia="仿宋_GB2312"/>
                      <w:sz w:val="20"/>
                    </w:rPr>
                    <w:t>Ra≥85%</w:t>
                  </w:r>
                  <w:r>
                    <w:rPr>
                      <w:rFonts w:ascii="仿宋_GB2312" w:hAnsi="仿宋_GB2312" w:cs="仿宋_GB2312" w:eastAsia="仿宋_GB2312"/>
                      <w:sz w:val="20"/>
                    </w:rPr>
                    <w:t>；</w:t>
                  </w:r>
                </w:p>
                <w:p>
                  <w:pPr>
                    <w:pStyle w:val="null3"/>
                    <w:jc w:val="left"/>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拍摄光源</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氙灯</w:t>
                  </w:r>
                  <w:r>
                    <w:rPr>
                      <w:rFonts w:ascii="仿宋_GB2312" w:hAnsi="仿宋_GB2312" w:cs="仿宋_GB2312" w:eastAsia="仿宋_GB2312"/>
                      <w:sz w:val="2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工作距离</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≥35mm</w:t>
                  </w:r>
                  <w:r>
                    <w:rPr>
                      <w:rFonts w:ascii="仿宋_GB2312" w:hAnsi="仿宋_GB2312" w:cs="仿宋_GB2312" w:eastAsia="仿宋_GB2312"/>
                      <w:sz w:val="20"/>
                    </w:rPr>
                    <w:t>；</w:t>
                  </w:r>
                </w:p>
                <w:p>
                  <w:pPr>
                    <w:pStyle w:val="null3"/>
                    <w:jc w:val="left"/>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可拍摄瞳孔直径</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≥3.3mm</w:t>
                  </w:r>
                  <w:r>
                    <w:rPr>
                      <w:rFonts w:ascii="仿宋_GB2312" w:hAnsi="仿宋_GB2312" w:cs="仿宋_GB2312" w:eastAsia="仿宋_GB2312"/>
                      <w:sz w:val="20"/>
                      <w:color w:val="00000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内固视灯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≥9方位固视+任意固视点可调</w:t>
                  </w:r>
                  <w:r>
                    <w:rPr>
                      <w:rFonts w:ascii="仿宋_GB2312" w:hAnsi="仿宋_GB2312" w:cs="仿宋_GB2312" w:eastAsia="仿宋_GB2312"/>
                      <w:sz w:val="20"/>
                    </w:rPr>
                    <w:t>；</w:t>
                  </w:r>
                </w:p>
                <w:p>
                  <w:pPr>
                    <w:pStyle w:val="null3"/>
                    <w:jc w:val="left"/>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外固视灯</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LED</w:t>
                  </w:r>
                  <w:r>
                    <w:rPr>
                      <w:rFonts w:ascii="仿宋_GB2312" w:hAnsi="仿宋_GB2312" w:cs="仿宋_GB2312" w:eastAsia="仿宋_GB2312"/>
                      <w:sz w:val="2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三维平台运动范围</w:t>
                  </w: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上下</w:t>
                  </w:r>
                  <w:r>
                    <w:rPr>
                      <w:rFonts w:ascii="仿宋_GB2312" w:hAnsi="仿宋_GB2312" w:cs="仿宋_GB2312" w:eastAsia="仿宋_GB2312"/>
                      <w:sz w:val="20"/>
                    </w:rPr>
                    <w:t>、</w:t>
                  </w:r>
                  <w:r>
                    <w:rPr>
                      <w:rFonts w:ascii="仿宋_GB2312" w:hAnsi="仿宋_GB2312" w:cs="仿宋_GB2312" w:eastAsia="仿宋_GB2312"/>
                      <w:sz w:val="20"/>
                    </w:rPr>
                    <w:t>左右、前后</w:t>
                  </w:r>
                  <w:r>
                    <w:rPr>
                      <w:rFonts w:ascii="仿宋_GB2312" w:hAnsi="仿宋_GB2312" w:cs="仿宋_GB2312" w:eastAsia="仿宋_GB2312"/>
                      <w:sz w:val="20"/>
                    </w:rPr>
                    <w:t>，</w:t>
                  </w:r>
                  <w:r>
                    <w:rPr>
                      <w:rFonts w:ascii="仿宋_GB2312" w:hAnsi="仿宋_GB2312" w:cs="仿宋_GB2312" w:eastAsia="仿宋_GB2312"/>
                      <w:sz w:val="20"/>
                    </w:rPr>
                    <w:t>颌托架运动范围</w:t>
                  </w:r>
                  <w:r>
                    <w:rPr>
                      <w:rFonts w:ascii="仿宋_GB2312" w:hAnsi="仿宋_GB2312" w:cs="仿宋_GB2312" w:eastAsia="仿宋_GB2312"/>
                      <w:sz w:val="20"/>
                    </w:rPr>
                    <w:t>：</w:t>
                  </w:r>
                  <w:r>
                    <w:rPr>
                      <w:rFonts w:ascii="仿宋_GB2312" w:hAnsi="仿宋_GB2312" w:cs="仿宋_GB2312" w:eastAsia="仿宋_GB2312"/>
                      <w:sz w:val="20"/>
                    </w:rPr>
                    <w:t>上下</w:t>
                  </w:r>
                  <w:r>
                    <w:rPr>
                      <w:rFonts w:ascii="仿宋_GB2312" w:hAnsi="仿宋_GB2312" w:cs="仿宋_GB2312" w:eastAsia="仿宋_GB2312"/>
                      <w:sz w:val="2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具备人工智能诊断软件接口</w:t>
                  </w:r>
                  <w:r>
                    <w:rPr>
                      <w:rFonts w:ascii="仿宋_GB2312" w:hAnsi="仿宋_GB2312" w:cs="仿宋_GB2312" w:eastAsia="仿宋_GB2312"/>
                      <w:sz w:val="20"/>
                    </w:rPr>
                    <w:t>，</w:t>
                  </w:r>
                  <w:r>
                    <w:rPr>
                      <w:rFonts w:ascii="仿宋_GB2312" w:hAnsi="仿宋_GB2312" w:cs="仿宋_GB2312" w:eastAsia="仿宋_GB2312"/>
                      <w:sz w:val="20"/>
                    </w:rPr>
                    <w:t>具备主屏副屏双屏幕，便于带教及相关操作，并可实现眼底红外实时监控等相关参数设置同步显示</w:t>
                  </w:r>
                  <w:r>
                    <w:rPr>
                      <w:rFonts w:ascii="仿宋_GB2312" w:hAnsi="仿宋_GB2312" w:cs="仿宋_GB2312" w:eastAsia="仿宋_GB2312"/>
                      <w:sz w:val="20"/>
                    </w:rPr>
                    <w:t>；</w:t>
                  </w:r>
                </w:p>
                <w:p>
                  <w:pPr>
                    <w:pStyle w:val="null3"/>
                    <w:jc w:val="left"/>
                  </w:p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可与国家标准化代谢性疾病管理中心</w:t>
                  </w:r>
                  <w:r>
                    <w:rPr>
                      <w:rFonts w:ascii="仿宋_GB2312" w:hAnsi="仿宋_GB2312" w:cs="仿宋_GB2312" w:eastAsia="仿宋_GB2312"/>
                      <w:sz w:val="20"/>
                    </w:rPr>
                    <w:t>MMC软件平台对接，实现标准化数据传输。</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tc>
      </w:tr>
    </w:tbl>
    <w:p>
      <w:pPr>
        <w:pStyle w:val="null3"/>
      </w:pPr>
      <w:r>
        <w:rPr>
          <w:rFonts w:ascii="仿宋_GB2312" w:hAnsi="仿宋_GB2312" w:cs="仿宋_GB2312" w:eastAsia="仿宋_GB2312"/>
        </w:rPr>
        <w:t>标的名称：肌电图诱发电位仪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肌电图诱发电位仪</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96"/>
              <w:gridCol w:w="135"/>
              <w:gridCol w:w="244"/>
              <w:gridCol w:w="1037"/>
              <w:gridCol w:w="235"/>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重要性</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0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技术参数及要求</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是否提供证明资料</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功能项目要求</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产品硬件与软件功能模块</w:t>
                  </w:r>
                  <w:r>
                    <w:rPr>
                      <w:rFonts w:ascii="仿宋_GB2312" w:hAnsi="仿宋_GB2312" w:cs="仿宋_GB2312" w:eastAsia="仿宋_GB2312"/>
                      <w:sz w:val="20"/>
                    </w:rPr>
                    <w:t>可</w:t>
                  </w:r>
                  <w:r>
                    <w:rPr>
                      <w:rFonts w:ascii="仿宋_GB2312" w:hAnsi="仿宋_GB2312" w:cs="仿宋_GB2312" w:eastAsia="仿宋_GB2312"/>
                      <w:sz w:val="20"/>
                    </w:rPr>
                    <w:t>根据使用需要设定</w:t>
                  </w:r>
                  <w:r>
                    <w:rPr>
                      <w:rFonts w:ascii="仿宋_GB2312" w:hAnsi="仿宋_GB2312" w:cs="仿宋_GB2312" w:eastAsia="仿宋_GB2312"/>
                      <w:sz w:val="20"/>
                    </w:rPr>
                    <w:t>,可设定快捷</w:t>
                  </w:r>
                  <w:r>
                    <w:rPr>
                      <w:rFonts w:ascii="仿宋_GB2312" w:hAnsi="仿宋_GB2312" w:cs="仿宋_GB2312" w:eastAsia="仿宋_GB2312"/>
                      <w:sz w:val="20"/>
                    </w:rPr>
                    <w:t>键</w:t>
                  </w:r>
                  <w:r>
                    <w:rPr>
                      <w:rFonts w:ascii="仿宋_GB2312" w:hAnsi="仿宋_GB2312" w:cs="仿宋_GB2312" w:eastAsia="仿宋_GB2312"/>
                      <w:sz w:val="20"/>
                    </w:rPr>
                    <w:t>，功能项目直接切换</w:t>
                  </w:r>
                  <w:r>
                    <w:rPr>
                      <w:rFonts w:ascii="仿宋_GB2312" w:hAnsi="仿宋_GB2312" w:cs="仿宋_GB2312" w:eastAsia="仿宋_GB2312"/>
                      <w:sz w:val="20"/>
                    </w:rPr>
                    <w:t>；</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常规功能模块</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运动传导、感觉传导、皮肤反应、</w:t>
                  </w:r>
                  <w:r>
                    <w:rPr>
                      <w:rFonts w:ascii="仿宋_GB2312" w:hAnsi="仿宋_GB2312" w:cs="仿宋_GB2312" w:eastAsia="仿宋_GB2312"/>
                      <w:sz w:val="20"/>
                    </w:rPr>
                    <w:t>F反应</w:t>
                  </w:r>
                  <w:r>
                    <w:rPr>
                      <w:rFonts w:ascii="仿宋_GB2312" w:hAnsi="仿宋_GB2312" w:cs="仿宋_GB2312" w:eastAsia="仿宋_GB2312"/>
                      <w:sz w:val="20"/>
                    </w:rPr>
                    <w:t>；</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增强功能模块</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心脏交感反应：查看糖尿病患者心率变异反应</w:t>
                  </w:r>
                  <w:r>
                    <w:rPr>
                      <w:rFonts w:ascii="仿宋_GB2312" w:hAnsi="仿宋_GB2312" w:cs="仿宋_GB2312" w:eastAsia="仿宋_GB2312"/>
                      <w:sz w:val="20"/>
                    </w:rPr>
                    <w:t>；</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44"/>
                  <w:vMerge/>
                  <w:tcBorders>
                    <w:top w:val="none" w:color="000000" w:sz="4"/>
                    <w:left w:val="none" w:color="000000" w:sz="4"/>
                    <w:bottom w:val="single" w:color="000000" w:sz="4"/>
                    <w:right w:val="single" w:color="000000" w:sz="4"/>
                  </w:tcBorders>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表面肌电图：分析肌肉释放电位功率，排除肌源性疾病原因神经传导变慢</w:t>
                  </w:r>
                  <w:r>
                    <w:rPr>
                      <w:rFonts w:ascii="仿宋_GB2312" w:hAnsi="仿宋_GB2312" w:cs="仿宋_GB2312" w:eastAsia="仿宋_GB2312"/>
                      <w:sz w:val="20"/>
                    </w:rPr>
                    <w:t>；</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操作系统</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诊断报告可对病人的原始数据进行精确分析；一键恢复功能</w:t>
                  </w:r>
                  <w:r>
                    <w:rPr>
                      <w:rFonts w:ascii="仿宋_GB2312" w:hAnsi="仿宋_GB2312" w:cs="仿宋_GB2312" w:eastAsia="仿宋_GB2312"/>
                      <w:sz w:val="20"/>
                    </w:rPr>
                    <w:t>可</w:t>
                  </w:r>
                  <w:r>
                    <w:rPr>
                      <w:rFonts w:ascii="仿宋_GB2312" w:hAnsi="仿宋_GB2312" w:cs="仿宋_GB2312" w:eastAsia="仿宋_GB2312"/>
                      <w:sz w:val="20"/>
                    </w:rPr>
                    <w:t>还原原始资料，防止数据丢失。在操作过程中具有图形和文字指导</w:t>
                  </w:r>
                  <w:r>
                    <w:rPr>
                      <w:rFonts w:ascii="仿宋_GB2312" w:hAnsi="仿宋_GB2312" w:cs="仿宋_GB2312" w:eastAsia="仿宋_GB2312"/>
                      <w:sz w:val="20"/>
                    </w:rPr>
                    <w:t>；</w:t>
                  </w:r>
                </w:p>
                <w:p>
                  <w:pPr>
                    <w:pStyle w:val="null3"/>
                    <w:jc w:val="left"/>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电流刺激强度</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最大脉冲强度为</w:t>
                  </w:r>
                  <w:r>
                    <w:rPr>
                      <w:rFonts w:ascii="仿宋_GB2312" w:hAnsi="仿宋_GB2312" w:cs="仿宋_GB2312" w:eastAsia="仿宋_GB2312"/>
                      <w:sz w:val="20"/>
                    </w:rPr>
                    <w:t>≤100mA;</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刺激波宽范围</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40μs～1ms；</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刺激频率范围</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0.1～70Hz；</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≤0.8μVrms（0.1Hz～10KHz）</w:t>
                  </w:r>
                  <w:r>
                    <w:rPr>
                      <w:rFonts w:ascii="仿宋_GB2312" w:hAnsi="仿宋_GB2312" w:cs="仿宋_GB2312" w:eastAsia="仿宋_GB2312"/>
                      <w:sz w:val="20"/>
                    </w:rPr>
                    <w:t>；</w:t>
                  </w:r>
                </w:p>
                <w:p>
                  <w:pPr>
                    <w:pStyle w:val="null3"/>
                    <w:jc w:val="left"/>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共模输入阻抗</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≥2000MΩ</w:t>
                  </w:r>
                  <w:r>
                    <w:rPr>
                      <w:rFonts w:ascii="仿宋_GB2312" w:hAnsi="仿宋_GB2312" w:cs="仿宋_GB2312" w:eastAsia="仿宋_GB2312"/>
                      <w:sz w:val="20"/>
                    </w:rPr>
                    <w:t>；</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共模抑制比</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≥110dB</w:t>
                  </w:r>
                  <w:r>
                    <w:rPr>
                      <w:rFonts w:ascii="仿宋_GB2312" w:hAnsi="仿宋_GB2312" w:cs="仿宋_GB2312" w:eastAsia="仿宋_GB2312"/>
                      <w:sz w:val="20"/>
                    </w:rPr>
                    <w:t>；</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灵敏度</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0.05μV～10mV（误差不得超±5%）</w:t>
                  </w:r>
                  <w:r>
                    <w:rPr>
                      <w:rFonts w:ascii="仿宋_GB2312" w:hAnsi="仿宋_GB2312" w:cs="仿宋_GB2312" w:eastAsia="仿宋_GB2312"/>
                      <w:sz w:val="20"/>
                    </w:rPr>
                    <w:t>；</w:t>
                  </w:r>
                </w:p>
                <w:p>
                  <w:pPr>
                    <w:pStyle w:val="null3"/>
                    <w:jc w:val="left"/>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频率范围</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0.5Hz～10KHz，波幅衰减不得超出±1db（误差不得超±5%）</w:t>
                  </w:r>
                  <w:r>
                    <w:rPr>
                      <w:rFonts w:ascii="仿宋_GB2312" w:hAnsi="仿宋_GB2312" w:cs="仿宋_GB2312" w:eastAsia="仿宋_GB2312"/>
                      <w:sz w:val="20"/>
                    </w:rPr>
                    <w:t>；</w:t>
                  </w:r>
                </w:p>
                <w:p>
                  <w:pPr>
                    <w:pStyle w:val="null3"/>
                    <w:jc w:val="left"/>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增益范围放大倍数</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100～100万倍（误差不得超±5%）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可与国家标准化代谢性疾病管理中心</w:t>
                  </w:r>
                  <w:r>
                    <w:rPr>
                      <w:rFonts w:ascii="仿宋_GB2312" w:hAnsi="仿宋_GB2312" w:cs="仿宋_GB2312" w:eastAsia="仿宋_GB2312"/>
                      <w:sz w:val="20"/>
                    </w:rPr>
                    <w:t>MMC软件平台对接，实现标准化数据传输。</w:t>
                  </w:r>
                </w:p>
                <w:p>
                  <w:pPr>
                    <w:pStyle w:val="null3"/>
                    <w:jc w:val="left"/>
                  </w:p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陕西中医药大学第二附属医院指定地点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货到安装调试验收合格办理入库后，乙方于 3 个工作日内持全额正式税务发票向甲方提出支付申请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设备办理入库并正常运行3个月后，乙方提供的商品无故障等各种情况发生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设备正常运转1年后，乙方就合同约定义务全部履行完毕后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1、验收要求：乙方按照甲方要求将全部货物送到甲方指定地点进行安装、调试，并对甲方工作人员进行培训，完成后向甲方提出验收申请，甲方须在乙方提出书面验收申请之日起 2 个工作日内，组织验收工作。甲乙双方验收人员共同对货物的外观、数量、商标、型号、规格及性能等进行验收，验收合格后甲乙双方共同签署验收单。验收不合格的，乙方应于7日内进行重新配送，交货日期不予延长，超过交货期限的，乙方按照本合同第十三条第1款向甲方支付延期交货违约金。 2、验收标准：应按照国家相关法律法规要求及相关质量体系认证标准为准。 3、验收依据：单证齐全，应有产品合格证、质量证明、使用说明、保修保质证明、发票和其他应当具有的单证，并符合国家法律、法规对该产品规定的国家标准的要求。 4、货物验收单仅证明乙方所提供的货物截止出具验收单之日时可以按合同要求予以接受，但不能视为乙方对货物存在的潜在缺陷责任的解除。此验收不作为对货物内质量认定的依据。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其他要求详见合同部分。</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1、乙方必须具有完善的售后服务体系，高水平的技术维修人员和良好的设备备件供应能力。 2、乙方同意该产品自安装、调试、验收合格并正常使用之日起免费保修，保质期为1年，在保修、保质期内出现的任何质量问题，乙方保证在接到甲方维修通知之日起24小时内派专业维修人员赶赴现场（即甲方指定地点）进行维修，并于3日内使设备恢复正常使用。 3、保修、保质期内，要确保该产品系统正常运行，开机率不得低于95%，如经过两次维修后仍达不到此标准，乙方应于7日内负责调换部分或整个产品设备，保修、保质期作相应延长，并承担自产品出现故障之日起至产品再次正常运行使用之日期间给甲方造成的所有经济损失。若更换后产品还达不到此标准，视为乙方根本违约，甲方有权单方解除合同，解除合同的通知达到乙方之日视为合同已解除，乙方应无条件退货，并承担给甲方造成的所有经济损失。 4、保修、保质期内，维修费用、乙方维修人员的差旅费及其他相关费用均由乙方承担。 5、保修、保质期满后，乙方负责终身优质服务，检修更换的产品配置零件按标准报价 8 折的优惠价向甲方提供，免人工费、差旅费及工时费，只收取更换的零配件成本费。 6、乙方负责产品机型系统错误改进，在保修、保质期内对该机型的软件免费更换或升级。 7、如以后该产品升级换代，乙方愿意以优惠价格向甲方提供。 8、如因产品本身的隐蔽瑕疵而出现的质量问题，乙方应全面负责维修调试或更新更换并承担全部费用。 9、乙方必须严格依据合同约定及投标文件中的售后服务承诺履行售后服务义务。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如不能及时交货或未按照本合同约定及时安装、调试完毕或违反第九条约定，迟延30日视为乙方根本违约，甲方有权单方解除合同，同时乙方应向甲方支付本合同总价款10 %的违约金。如交付的产品数量、品种、规格、质量不符合国家标准和合同约定的由乙方负责包修、包换、退货，乙方应于7日内完成产品的维修或退/换货，并承担由此给甲方造成的所有经济损失；逾期交货的，应向甲方支付迟延履行的违约金，每日违约金按逾期交货货款金额万分之一计算。 2、除前款约定外，乙方未按合同要求提供产品或提供虚假材料，且质量不能满足技术要求的，视为乙方根本违约，甲方有权单方终止合同，同时要求乙方承担承担本合同总价款10％的违约金，违约金不足以弥补损失的，由乙方另行支付。 3、自本合同签订之日起，若甲方无故中途退货，应向乙方支付退货部分货款的10 %的违约金。 4、甲方应当按时向乙方支付货款，逾期付款的，应向乙方支付迟延履行的违约金，每日违约金按逾期付款金额的万分之一计算。 5、乙方未按照本合同第十条第2款完成维修义务的，每迟延一日应向甲方支付合同总价款万分之一的违约金，迟延超过7日的，甲方有权委托第三方进行维修，由此产生的费用由乙方承担。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3.5.2提供核心产品相同品牌且通过资格审查、符合性审查的不同投标人参加同一包（标段）投标的，按一家投标人计算，评审后得分最高的同品牌投标人获得中标人推荐资格；评审得分相同的，由采购人自行确定一个投标人获得中标人推荐资格，其他同品牌投标人不作为中标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投标人参加本次采购活动3年内，在经营活动中没有重大违法记录以及未被列入失信被执行人、重大税收违法案件当事人名单、政府采购严重违法失信行为记录名单的书面声明；（6）法定代表人（单位负责人）参加投标的，提供本人身份证复印件并出示身份证；法定代表人（单位负责人）授权他人参加投标的，提供法定代表人委托授权书并出示被授权代表的身份证。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投标人2023年度或2024年度经审计的财务会计报告，包括 “四表一注”或者银行资信证明（提供投标文件截止时间3个月内其基本账户开户银行出具的资信证明）。供应商需在项目电子化交易系统中按要求填写《投标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生产企业需提供的：投标产品《医疗器械注册证》和《医疗器械生产许可证》。 经销商需提供的：《医疗器械经营许可证》和生产企业投标产品《医疗器械注册证》和《医疗器械生产许可证》复印件。</w:t>
            </w:r>
          </w:p>
        </w:tc>
        <w:tc>
          <w:tcPr>
            <w:tcW w:type="dxa" w:w="1661"/>
          </w:tcPr>
          <w:p>
            <w:pPr>
              <w:pStyle w:val="null3"/>
            </w:pPr>
            <w:r>
              <w:rPr>
                <w:rFonts w:ascii="仿宋_GB2312" w:hAnsi="仿宋_GB2312" w:cs="仿宋_GB2312" w:eastAsia="仿宋_GB2312"/>
              </w:rPr>
              <w:t>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业绩 商务应答表 技术文件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业绩 商务应答表 技术文件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交货时间满足文件最低要求(合格)，交货时间不满足文件最 低要求(不合格)</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保修期限满足文件最低要求(合格)，保修期限不满足文件最低要求(不合格)</w:t>
            </w:r>
          </w:p>
        </w:tc>
        <w:tc>
          <w:tcPr>
            <w:tcW w:type="dxa" w:w="1661"/>
          </w:tcPr>
          <w:p>
            <w:pPr>
              <w:pStyle w:val="null3"/>
            </w:pPr>
            <w:r>
              <w:rPr>
                <w:rFonts w:ascii="仿宋_GB2312" w:hAnsi="仿宋_GB2312" w:cs="仿宋_GB2312" w:eastAsia="仿宋_GB2312"/>
              </w:rPr>
              <w:t>开标一览表 投标函 技术文件 标的清单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投标文件投标有效期符合文件要求的(合格)，投标文件无投标有效期或有效期达不到文件要求的(不合格)</w:t>
            </w:r>
          </w:p>
        </w:tc>
        <w:tc>
          <w:tcPr>
            <w:tcW w:type="dxa" w:w="1661"/>
          </w:tcPr>
          <w:p>
            <w:pPr>
              <w:pStyle w:val="null3"/>
            </w:pPr>
            <w:r>
              <w:rPr>
                <w:rFonts w:ascii="仿宋_GB2312" w:hAnsi="仿宋_GB2312" w:cs="仿宋_GB2312" w:eastAsia="仿宋_GB2312"/>
              </w:rPr>
              <w:t>开标一览表 投标函 技术文件 标的清单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符合“拟签订合同交本”条款中实质性要求和条件</w:t>
            </w:r>
          </w:p>
        </w:tc>
        <w:tc>
          <w:tcPr>
            <w:tcW w:type="dxa" w:w="1661"/>
          </w:tcPr>
          <w:p>
            <w:pPr>
              <w:pStyle w:val="null3"/>
            </w:pPr>
            <w:r>
              <w:rPr>
                <w:rFonts w:ascii="仿宋_GB2312" w:hAnsi="仿宋_GB2312" w:cs="仿宋_GB2312" w:eastAsia="仿宋_GB2312"/>
              </w:rPr>
              <w:t>产品技术参数表 投标函 商务应答表 技术文件 投标文件封面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投标文件含有采购人不能接受的附加条件的或其他情形</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业绩 商务应答表 技术文件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技术指标的响应程度</w:t>
            </w:r>
          </w:p>
        </w:tc>
        <w:tc>
          <w:tcPr>
            <w:tcW w:type="dxa" w:w="2492"/>
          </w:tcPr>
          <w:p>
            <w:pPr>
              <w:pStyle w:val="null3"/>
            </w:pPr>
            <w:r>
              <w:rPr>
                <w:rFonts w:ascii="仿宋_GB2312" w:hAnsi="仿宋_GB2312" w:cs="仿宋_GB2312" w:eastAsia="仿宋_GB2312"/>
              </w:rPr>
              <w:t>评标委员会根据投标文件中对技术指标的应答，并结合投标人提供的官方网站截图或产品白皮书或说明书或第三方机构检验报告或其他相关证明材料，对技术响应进行综合评价；产品技术参数清楚、明确，技术支持资料完整，满足或优于招标文件要求，得25分。“▲”项的参数每满足一项计0.8分，非“▲”项的参数每满足一项计0.3分，满分25分。 注：“▲”项和标明需提供支撑材料的非“▲”项参数须提供技术支持资料，未提供支持资料的为负偏离，不计得分。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一、评审内容：实施方案包含①组织生产、供货运输方案；②安装调试方案；③接受采购人对项目实施方案、生产进度、货物质量、货款支付与结算审核等方面监督和管理等。 二、评审标准： （1）完整性：内容全面详尽，对各方面有详细的描述和说明。 （2）合理性：项目切合实际，进度控制合理、思路清晰，科学合理。 （3）针对性：方案编制紧扣项目特点和采购需求，针对性强，整体性高。 三、赋分标准（满分9分） ①组织生产、供货运输方案，此评审满分3分，每完全满足一项评审标准得1分，针对每条评审标准，如存在不合理的方面扣0.3分，针对每条评审标准，内容与本项目无关或未提供得0分； ②安装调试方案，此评审满分3分，每完全满足一项评审标准得1分，针对每条评审标准，如存在不合理的方面扣0.3分，针对每条评审标准，内容与本项目无关或未提供得0分； ③接受采购人对项目实施方案、生产进度、货物质量、货款支付与结算审核等方面监督和管理，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投标产品符合国家相关质量标准，质量管理体系健全，质量保证措施有效可靠，符合招标人要求，内容包括①质量保证措施；②产品证明资料，投标人应提供所投产品来源渠道的合法证明资料，包括但不限于产品制造商授权/销售协议、代理协议、原厂授权、生产厂家出具的相应功能证明材料或第三方检测机构出具的检测/检验报告等。 二、评审标准： （1）完整性：内容全面详尽，对各方面有详细的描述和说明。 （2）合理性：项目切合实际，进度控制合理、思路清晰，科学合理。 （3）针对性：方案编制紧扣项目特点和采购需求，针对性强，整体性高。 三、赋分标准（满分8分） ①质量保证措施，此评审满分6分，每完全满足一项评审标准得2分，针对每条评审标准，如存在不合理的方面扣1分，针对每条评审标准，内容与本项目无关或未提供得0分； ②证明材料完整计2分，不完整或未提供不得分；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技术文件</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一、评审内容：培训方案包括①培训计划及内容②培训人员、时间、地点等，保证采购人能够安全、正常、熟练的使用投标产品。 二、评审标准： （1）完整性：内容全面详尽，对各方面有详细的描述和说明。 （2）合理性：项目切合实际，进度控制合理、思路清晰，科学合理。 （3）针对性：方案编制紧扣项目特点和采购需求，针对性强，整体性高。 三、赋分标准（满分6分） ①培训计划及内容，此评审满分3分，每完全满足一项评审标准得1分，针对每条评审标准，如存在不合理的方面扣0.3分，针对每条评审标准，内容与本项目无关或未提供得0分； ②培训人员、时间、地点等，此评审满分3分，每完全满足一项评审标准得1分，针对每条评审标准，如存在不合理的方面扣0.3分，针对每条评审标准，内容与本项目无关或未提供得0分；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根据投标人针对本项目配备专业的服务团队，包括①送货、安装调试人员②培训人员、售后服务人员、技术支持人员。 二、评审标准： （1）完整性：内容全面详尽，对各方面有详细的描述和说明。 （2）合理性：项目切合实际，进度控制合理、思路清晰，科学合理。 （3）针对性：人员配备紧扣项目特点和采购需求，针对性强，整体性高。 三、赋分标准（满分6分） ①送货、安装调试人员，此评审满分3分，每完全满足一项评审标准得1分，针对每条评审标准，如存在不合理的方面扣0.3分，针对每条评审标准，内容与本项目无关或未提供得0分； ②培训人员、售后服务人员、技术支持人员，此评审满分3分，每完全满足一项评审标准得1分，针对每条评审标准，如存在不合理的方面扣0.3分，针对每条评审标准，内容与本项目无关或未提供得0分；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售后服务方案包括①售后服务机构②质保期内的维护保养、相关技术支持方案③服务保障力度④产品出现故障响应时间承诺、解决故障时间承诺、补救措施等。 二、评审标准： （1）完整性：内容全面详尽，对各方面有详细的描述和说明。 （2）合理性：项目切合实际，进度控制合理、思路清晰，科学合理。 （3）针对性：方案编制紧扣项目特点和采购需求，针对性强，整体性高。 三、赋分标准（满分12分） ①售后服务机构，此评审满分3分，每完全满足一项评审标准得1分，针对每条评审标准，如存在不合理的方面扣0.3分，针对每条评审标准，内容与本项目无关或未提供得0分； ②质保期内的维护保养、相关技术支持方案，此评审满分3分，每完全满足一项评审标准得1分，针对每条评审标准，如存在不合理的方面扣0.3分，针对每条评审标准，内容与本项目无关或未提供得0分； ③服务保障力度，此评审满分3分，每完全满足一项评审标准得1分，针对每条评审标准，如存在不合理的方面扣0.3分，针对每条评审标准，内容与本项目无关或未提供得0分； ④产品出现故障响应时间承诺、解决故障时间承诺、补救措施等，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每提供一份 2022 年 1月 1 日至今所投核心产品清晰完整的业绩合同复印件并加盖公章（时间以合同签订时间为准）得1分，最高得4分。 注：未按照要求提供不得分。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