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版本号：ZX2025-04-2420250508001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陕西省自然资源业务应用场景能力构建项目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ZX2025-04-24</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陕西省自然资源业务应用场景能力构建项目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陕西省自然资源业务应用场景能力构建项目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自然资源业务应用场景能力构建项目，共分为2个采购包，其中采购包1：陕西省自然资源业务应用场景能力构建项目（一包）；采购包2：陕西省自然资源业务应用场景能力构建项目（二包）；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采购包1（陕西省自然资源业务应用场景能力构建项目（一包））：属于专门面向中小企业采购。</w:t>
      </w:r>
    </w:p>
    <w:p>
      <w:pPr>
        <w:pStyle w:val="null3"/>
      </w:pPr>
      <w:r>
        <w:rPr>
          <w:rFonts w:ascii="仿宋_GB2312" w:hAnsi="仿宋_GB2312" w:cs="仿宋_GB2312" w:eastAsia="仿宋_GB2312"/>
        </w:rPr>
        <w:t>采购包2（陕西省自然资源业务应用场景能力构建项目（二包））：属于专门面向中小企业采购。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029-87852040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采购包1保证金金额：60,424.00元</w:t>
            </w:r>
          </w:p>
          <w:p>
            <w:pPr>
              <w:pStyle w:val="null3"/>
            </w:pPr>
            <w:r>
              <w:rPr>
                <w:rFonts w:ascii="仿宋_GB2312" w:hAnsi="仿宋_GB2312" w:cs="仿宋_GB2312" w:eastAsia="仿宋_GB2312"/>
              </w:rPr>
              <w:t>采购包2保证金金额：9,424.00元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代理服务费收费标准：参照国家计委计价格[2002]1980号及发改办价格[2003]857号通知规定计取，由中标人支付代理服务费。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依据招标文件、投标文件及合同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依据招标文件、投标文件及合同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自然资源业务应用场景能力构建项目，共分为2个采购包，其中采购包1：陕西省自然资源业务应用场景能力构建项目（一包）；采购包2：陕西省自然资源业务应用场景能力构建项目（二包）；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陕西省自然资源业务应用场景能力构建项目（一包）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陕西省自然资源业务应用场景能力构建项目（二包）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标的名称：陕西省自然资源业务应用场景能力构建项目（一包）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color w:val="0000FF"/>
              </w:rPr>
              <w:t>一、建设背景</w:t>
            </w:r>
          </w:p>
          <w:p>
            <w:pPr>
              <w:pStyle w:val="null3"/>
              <w:ind w:firstLine="360"/>
            </w:pPr>
            <w:r>
              <w:rPr>
                <w:rFonts w:ascii="仿宋_GB2312" w:hAnsi="仿宋_GB2312" w:cs="仿宋_GB2312" w:eastAsia="仿宋_GB2312"/>
                <w:sz w:val="18"/>
                <w:color w:val="0000FF"/>
              </w:rPr>
              <w:t>自然资源部《自然资源数字化治理能力提升总体方案》中明确了自然资源数字化治理采用部省两级建设模式，部省互联互通，部级示范指导，省级负责统筹本省（区、市）建设，明确以国土空间基础信息平台为支撑，进行数字化场景建设。</w:t>
            </w:r>
          </w:p>
          <w:p>
            <w:pPr>
              <w:pStyle w:val="null3"/>
              <w:ind w:firstLine="360"/>
            </w:pPr>
            <w:r>
              <w:rPr>
                <w:rFonts w:ascii="仿宋_GB2312" w:hAnsi="仿宋_GB2312" w:cs="仿宋_GB2312" w:eastAsia="仿宋_GB2312"/>
                <w:sz w:val="18"/>
                <w:color w:val="0000FF"/>
              </w:rPr>
              <w:t>2024年3月5日，陕西省自然资源厅关于贯彻落实《自然资源部关于深化矿产资源管理改革若干事项的意见》的实施意见，要求持续深化矿产资源管理改革，提升矿产资源保障能力。</w:t>
            </w:r>
          </w:p>
          <w:p>
            <w:pPr>
              <w:pStyle w:val="null3"/>
              <w:ind w:firstLine="360"/>
            </w:pPr>
            <w:r>
              <w:rPr>
                <w:rFonts w:ascii="仿宋_GB2312" w:hAnsi="仿宋_GB2312" w:cs="仿宋_GB2312" w:eastAsia="仿宋_GB2312"/>
                <w:sz w:val="18"/>
                <w:color w:val="0000FF"/>
              </w:rPr>
              <w:t>2024年3月15日，《自然资源部关于2024年土地利用计划管理的通知》提出实施计划指标配置与处置存量土地挂钩、继续开展批而未供和闲置土地处置任务考核，加强信息报备与监管考核等要求。</w:t>
            </w:r>
          </w:p>
          <w:p>
            <w:pPr>
              <w:pStyle w:val="null3"/>
              <w:ind w:firstLine="360"/>
            </w:pPr>
            <w:r>
              <w:rPr>
                <w:rFonts w:ascii="仿宋_GB2312" w:hAnsi="仿宋_GB2312" w:cs="仿宋_GB2312" w:eastAsia="仿宋_GB2312"/>
                <w:sz w:val="18"/>
                <w:color w:val="0000FF"/>
              </w:rPr>
              <w:t>2024年4月15日，自然资源部 生态环境部 财政部 国家市场监督管理总局 国家金融监督管理总局 中国证券监督管理委员会 国家林业和草原局《关于进一步加强绿色矿山建设的通知》，明确要夯实矿山企业的主体责任，落实矿山开发利用、生态修复、环境保护等方案，及时向社会公开。</w:t>
            </w:r>
          </w:p>
          <w:p>
            <w:pPr>
              <w:pStyle w:val="null3"/>
              <w:ind w:firstLine="360"/>
            </w:pPr>
            <w:r>
              <w:rPr>
                <w:rFonts w:ascii="仿宋_GB2312" w:hAnsi="仿宋_GB2312" w:cs="仿宋_GB2312" w:eastAsia="仿宋_GB2312"/>
                <w:sz w:val="18"/>
                <w:color w:val="0000FF"/>
              </w:rPr>
              <w:t>2024年5月11日，陕西省自然资源厅《关于印发陕西省土地征收成片开发标准实施细则的通知》（陕自然资规〔2024〕297 号），提出对土地征收成片开发方案进行审核、审查、审批等环节，加强批后监管，持续完善方案审批流程、提升数据互通、优化上报过程、提高工作效率。</w:t>
            </w:r>
          </w:p>
          <w:p>
            <w:pPr>
              <w:pStyle w:val="null3"/>
              <w:ind w:firstLine="360"/>
            </w:pPr>
            <w:r>
              <w:rPr>
                <w:rFonts w:ascii="仿宋_GB2312" w:hAnsi="仿宋_GB2312" w:cs="仿宋_GB2312" w:eastAsia="仿宋_GB2312"/>
                <w:sz w:val="18"/>
                <w:color w:val="0000FF"/>
              </w:rPr>
              <w:t>2024年5月14日，陕西省自然资源厅制定并印发《陕西省自然资源厅矿业权登记工作规程》，持续完善登记流程、精简登记要件、提高登记效率。</w:t>
            </w:r>
          </w:p>
          <w:p>
            <w:pPr>
              <w:pStyle w:val="null3"/>
              <w:ind w:firstLine="360"/>
            </w:pPr>
            <w:r>
              <w:rPr>
                <w:rFonts w:ascii="仿宋_GB2312" w:hAnsi="仿宋_GB2312" w:cs="仿宋_GB2312" w:eastAsia="仿宋_GB2312"/>
                <w:sz w:val="18"/>
                <w:color w:val="0000FF"/>
              </w:rPr>
              <w:t>2024年7月1日，自然资源部国土空间用途管制司印发《关于做好监管系统数据交互有关事项的函》文件中要求完善功能，提升系统运行的稳定性、时效性和智能化水平。</w:t>
            </w:r>
          </w:p>
          <w:p>
            <w:pPr>
              <w:pStyle w:val="null3"/>
              <w:ind w:firstLine="360"/>
            </w:pPr>
            <w:r>
              <w:rPr>
                <w:rFonts w:ascii="仿宋_GB2312" w:hAnsi="仿宋_GB2312" w:cs="仿宋_GB2312" w:eastAsia="仿宋_GB2312"/>
                <w:sz w:val="18"/>
                <w:color w:val="0000FF"/>
              </w:rPr>
              <w:t>2024年8月1日，中华人民共和国自然资源部矿业权管理司征求《矿产资源勘查许可证电子证照规范》（征求意见稿）《采矿许可证电子证照规范（征求意见稿)》意见的函，明确要进一步推进自然资源行业领域电子矿产资源勘查许可证和电子采矿许可证在全国范围标准统一、互通互认。</w:t>
            </w:r>
          </w:p>
          <w:p>
            <w:pPr>
              <w:pStyle w:val="null3"/>
              <w:ind w:firstLine="360"/>
            </w:pPr>
            <w:r>
              <w:rPr>
                <w:rFonts w:ascii="仿宋_GB2312" w:hAnsi="仿宋_GB2312" w:cs="仿宋_GB2312" w:eastAsia="仿宋_GB2312"/>
                <w:sz w:val="18"/>
                <w:color w:val="0000FF"/>
              </w:rPr>
              <w:t>根据相关文件要求，以全面提升自然资源政务审批精准度和效能，服务社会经济高质量发展，切实履行好</w:t>
            </w:r>
            <w:r>
              <w:rPr>
                <w:rFonts w:ascii="仿宋_GB2312" w:hAnsi="仿宋_GB2312" w:cs="仿宋_GB2312" w:eastAsia="仿宋_GB2312"/>
                <w:sz w:val="18"/>
                <w:color w:val="0000FF"/>
              </w:rPr>
              <w:t>“两统一”职责为目标，结合土地类、矿产类自然资源业务实际需求，开展陕西省自然资源业务应用场景能力构建提升工作。</w:t>
            </w:r>
          </w:p>
          <w:p>
            <w:pPr>
              <w:pStyle w:val="null3"/>
            </w:pPr>
            <w:r>
              <w:rPr>
                <w:rFonts w:ascii="仿宋_GB2312" w:hAnsi="仿宋_GB2312" w:cs="仿宋_GB2312" w:eastAsia="仿宋_GB2312"/>
                <w:sz w:val="18"/>
                <w:b/>
                <w:color w:val="0000FF"/>
              </w:rPr>
              <w:t>二、建设目标</w:t>
            </w:r>
          </w:p>
          <w:p>
            <w:pPr>
              <w:pStyle w:val="null3"/>
              <w:ind w:firstLine="360"/>
            </w:pPr>
            <w:r>
              <w:rPr>
                <w:rFonts w:ascii="仿宋_GB2312" w:hAnsi="仿宋_GB2312" w:cs="仿宋_GB2312" w:eastAsia="仿宋_GB2312"/>
                <w:sz w:val="18"/>
                <w:color w:val="0000FF"/>
              </w:rPr>
              <w:t>依托自然资源业务专网和政务外网，以陕西省国土空间基础信息平台为底座，充分利用</w:t>
            </w:r>
            <w:r>
              <w:rPr>
                <w:rFonts w:ascii="仿宋_GB2312" w:hAnsi="仿宋_GB2312" w:cs="仿宋_GB2312" w:eastAsia="仿宋_GB2312"/>
                <w:sz w:val="18"/>
                <w:color w:val="0000FF"/>
              </w:rPr>
              <w:t>“一张图”的基础数据，开展国土空间用途管制、矿业权审批、土地利用、土地征收成片开发等业务支撑场景能力构建提升工作，全面提升应用系统服务支撑能力和我省自然资源数字化管理水平。</w:t>
            </w:r>
          </w:p>
          <w:p>
            <w:pPr>
              <w:pStyle w:val="null3"/>
            </w:pPr>
            <w:r>
              <w:rPr>
                <w:rFonts w:ascii="仿宋_GB2312" w:hAnsi="仿宋_GB2312" w:cs="仿宋_GB2312" w:eastAsia="仿宋_GB2312"/>
                <w:sz w:val="18"/>
                <w:b/>
                <w:color w:val="0000FF"/>
              </w:rPr>
              <w:t>三、建设依据</w:t>
            </w:r>
          </w:p>
          <w:p>
            <w:pPr>
              <w:pStyle w:val="null3"/>
            </w:pPr>
            <w:r>
              <w:rPr>
                <w:rFonts w:ascii="仿宋_GB2312" w:hAnsi="仿宋_GB2312" w:cs="仿宋_GB2312" w:eastAsia="仿宋_GB2312"/>
                <w:sz w:val="18"/>
                <w:color w:val="0000FF"/>
              </w:rPr>
              <w:t>1、政策依据：</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1）自然资源部印发《关于做好监管系统数据交互有关事项的函》(自然资源用途管制函〔2024〕58号)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2）国务院办公厅《关于印发“高效办成一件事”2025年度第一批重点事项清单的通知》(国办函〔2025〕3号)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3）自然资源部印发《自然资源部关于进一步完善矿产资源勘查开采登记管理的通知》（自然资规〔2023〕4号）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4）《财政部 自然资源部 税务总局关于印发〈矿业权出让收益征收办法〉的通知》（财综〔2023〕10号）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5）陕西省自然资源厅关于贯彻落实《自然资源部关于深化矿产资源管理改革干事项的意见》的实施意见（陕自然资规〔2024〕1号）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6）《矿产资源勘查许可证电子证照规范》（征求意见稿）</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7）陕西省人民政府办公厅印发《陕西省人民政府办公厅关于印发深化“一网通办”打造“数字政府”实施方案的通知》（陕政办发〔2023〕24号）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8）陕西省人民政府办公厅印发《陕西省人民政府办公厅关于印发陕西省深化“互联网+政务服务”推进“一网通办”工作方案的通知》（陕政办发〔2020〕21号）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9）陕西省自然资源厅印发《陕西省自然资源厅矿业权登记工作规程的通知》（陕自然资规〔2024〕320号）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10）自然资源开发利用司《关于土地市场动态监测与监管系统重构改版试运行的通知》</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11）《自然资源部关于进一步做好用地用海要素保障的通知》</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12）《自然资源部关于2024年土地利用计划管理的通知》</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13）自然资源部《土地征收成片开发标准》</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14）陕西省自然资源厅《关于印发陕西省土地征收成片开发标准实施细则的通知》（陕自然资规〔2024〕297 号）</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2、技术依据。</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1）《计算机软件开发规范》（GB8566-88）；</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2）《计算机软件系统开发文件编制指南》（GB8567-88）；</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3）《计算机软件质量保证计划规范》（GB/T 12504-90）；</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4）《计算机软件配置管理计划规范》（GB/T 12505-90）；</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5）《计算机软件需求说明编制指南》（GB9385-88）；</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6）《软件项目术语》（GB/T11457）；</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7）《电子证照 共享服务接口规范》（GB/T 36906-2018）；</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8）《信息系统安全等级保护实施指南》（GB/T25058-2010）；</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9）《信息安全技术 网络安全等级保护基本要求》（GB/T 22239-2019）；</w:t>
            </w:r>
          </w:p>
          <w:p>
            <w:pPr>
              <w:pStyle w:val="null3"/>
            </w:pPr>
            <w:r>
              <w:rPr>
                <w:rFonts w:ascii="仿宋_GB2312" w:hAnsi="仿宋_GB2312" w:cs="仿宋_GB2312" w:eastAsia="仿宋_GB2312"/>
                <w:sz w:val="18"/>
                <w:color w:val="0000FF"/>
              </w:rPr>
              <w:t>（</w:t>
            </w:r>
            <w:r>
              <w:rPr>
                <w:rFonts w:ascii="仿宋_GB2312" w:hAnsi="仿宋_GB2312" w:cs="仿宋_GB2312" w:eastAsia="仿宋_GB2312"/>
                <w:sz w:val="18"/>
                <w:color w:val="0000FF"/>
              </w:rPr>
              <w:t>10）《信息安全技术 网络安全等级保护安全设计技术要求》（GB/T25070-2019）</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b/>
                <w:color w:val="0000FF"/>
              </w:rPr>
              <w:t>四、采购内容</w:t>
            </w:r>
          </w:p>
          <w:p>
            <w:pPr>
              <w:pStyle w:val="null3"/>
              <w:ind w:firstLine="360"/>
            </w:pPr>
            <w:r>
              <w:rPr>
                <w:rFonts w:ascii="仿宋_GB2312" w:hAnsi="仿宋_GB2312" w:cs="仿宋_GB2312" w:eastAsia="仿宋_GB2312"/>
                <w:sz w:val="18"/>
                <w:color w:val="0000FF"/>
              </w:rPr>
              <w:t>（一）国土空间用途管制业务支撑能力提升</w:t>
            </w:r>
          </w:p>
          <w:p>
            <w:pPr>
              <w:pStyle w:val="null3"/>
              <w:ind w:firstLine="360"/>
            </w:pPr>
            <w:r>
              <w:rPr>
                <w:rFonts w:ascii="仿宋_GB2312" w:hAnsi="仿宋_GB2312" w:cs="仿宋_GB2312" w:eastAsia="仿宋_GB2312"/>
                <w:sz w:val="18"/>
                <w:color w:val="0000FF"/>
              </w:rPr>
              <w:t>通过智能化手段提升用途管制管理能力，实现用途管制全域智能监管、全域智能识别，推进各类资源集约节约利用、优化国土空间格局。</w:t>
            </w:r>
          </w:p>
          <w:p>
            <w:pPr>
              <w:pStyle w:val="null3"/>
              <w:ind w:firstLine="360"/>
            </w:pPr>
            <w:r>
              <w:rPr>
                <w:rFonts w:ascii="仿宋_GB2312" w:hAnsi="仿宋_GB2312" w:cs="仿宋_GB2312" w:eastAsia="仿宋_GB2312"/>
                <w:sz w:val="18"/>
                <w:color w:val="0000FF"/>
              </w:rPr>
              <w:t>1、农村宅基地及集体建设用地全流程数字化管理体系建设</w:t>
            </w:r>
          </w:p>
          <w:p>
            <w:pPr>
              <w:pStyle w:val="null3"/>
              <w:ind w:firstLine="360"/>
            </w:pPr>
            <w:r>
              <w:rPr>
                <w:rFonts w:ascii="仿宋_GB2312" w:hAnsi="仿宋_GB2312" w:cs="仿宋_GB2312" w:eastAsia="仿宋_GB2312"/>
                <w:sz w:val="18"/>
                <w:color w:val="0000FF"/>
              </w:rPr>
              <w:t>农村村民住宅用地审批建设。贯彻落实《土地管理法》及乡村振兴战略要求，完善陕西省国土空间用途管制业务监管体系，建立覆盖省</w:t>
            </w:r>
            <w:r>
              <w:rPr>
                <w:rFonts w:ascii="仿宋_GB2312" w:hAnsi="仿宋_GB2312" w:cs="仿宋_GB2312" w:eastAsia="仿宋_GB2312"/>
                <w:sz w:val="18"/>
                <w:color w:val="0000FF"/>
              </w:rPr>
              <w:t>-市-县三级的农村村民住宅用地农转用审批管理体系，推进业务线上办理，提升农用地转用审批效率和监管备案。</w:t>
            </w:r>
          </w:p>
          <w:p>
            <w:pPr>
              <w:pStyle w:val="null3"/>
              <w:ind w:firstLine="360"/>
            </w:pPr>
            <w:r>
              <w:rPr>
                <w:rFonts w:ascii="仿宋_GB2312" w:hAnsi="仿宋_GB2312" w:cs="仿宋_GB2312" w:eastAsia="仿宋_GB2312"/>
                <w:sz w:val="18"/>
                <w:color w:val="0000FF"/>
              </w:rPr>
              <w:t>集体建设用地空间数据库建设。构建全省统一的集体建设用地空间数据库，实现农村宅基地、公共设施用地和集体经营性用地项目范围上图入库，形成动态更新的国土空间用途管制数据库，实现集体建设用地的</w:t>
            </w:r>
            <w:r>
              <w:rPr>
                <w:rFonts w:ascii="仿宋_GB2312" w:hAnsi="仿宋_GB2312" w:cs="仿宋_GB2312" w:eastAsia="仿宋_GB2312"/>
                <w:sz w:val="18"/>
                <w:color w:val="0000FF"/>
              </w:rPr>
              <w:t>“一张图”精准管控。</w:t>
            </w:r>
          </w:p>
          <w:p>
            <w:pPr>
              <w:pStyle w:val="null3"/>
              <w:ind w:firstLine="360"/>
            </w:pPr>
            <w:r>
              <w:rPr>
                <w:rFonts w:ascii="仿宋_GB2312" w:hAnsi="仿宋_GB2312" w:cs="仿宋_GB2312" w:eastAsia="仿宋_GB2312"/>
                <w:sz w:val="18"/>
                <w:color w:val="0000FF"/>
              </w:rPr>
              <w:t>2、计划指标管理模块建设</w:t>
            </w:r>
          </w:p>
          <w:p>
            <w:pPr>
              <w:pStyle w:val="null3"/>
              <w:ind w:firstLine="360"/>
            </w:pPr>
            <w:r>
              <w:rPr>
                <w:rFonts w:ascii="仿宋_GB2312" w:hAnsi="仿宋_GB2312" w:cs="仿宋_GB2312" w:eastAsia="仿宋_GB2312"/>
                <w:sz w:val="18"/>
                <w:color w:val="0000FF"/>
              </w:rPr>
              <w:t>为实现陕西省计划指标精细化管理要求，构建</w:t>
            </w:r>
            <w:r>
              <w:rPr>
                <w:rFonts w:ascii="仿宋_GB2312" w:hAnsi="仿宋_GB2312" w:cs="仿宋_GB2312" w:eastAsia="仿宋_GB2312"/>
                <w:sz w:val="18"/>
                <w:color w:val="0000FF"/>
              </w:rPr>
              <w:t>“总量控制+精准配置+动态调控”的新型计划管理管理体系，对包括国家指标、基础指标、存量核算指标、巩固脱贫攻坚成果指标、农村村民住宅用地指标在内的指标，进行动态管控，实现省市县三级计划指标分配、使用和管理。</w:t>
            </w:r>
          </w:p>
          <w:p>
            <w:pPr>
              <w:pStyle w:val="null3"/>
              <w:ind w:firstLine="360"/>
            </w:pPr>
            <w:r>
              <w:rPr>
                <w:rFonts w:ascii="仿宋_GB2312" w:hAnsi="仿宋_GB2312" w:cs="仿宋_GB2312" w:eastAsia="仿宋_GB2312"/>
                <w:sz w:val="18"/>
                <w:color w:val="0000FF"/>
              </w:rPr>
              <w:t>3、城乡建设用地增减挂钩流程完善</w:t>
            </w:r>
          </w:p>
          <w:p>
            <w:pPr>
              <w:pStyle w:val="null3"/>
              <w:ind w:firstLine="360"/>
            </w:pPr>
            <w:r>
              <w:rPr>
                <w:rFonts w:ascii="仿宋_GB2312" w:hAnsi="仿宋_GB2312" w:cs="仿宋_GB2312" w:eastAsia="仿宋_GB2312"/>
                <w:sz w:val="18"/>
                <w:color w:val="0000FF"/>
              </w:rPr>
              <w:t>为落实《城乡建设用地增减挂钩管理办法》要求，破解传统增减挂钩业务存在的跨层级协同难、指标流转不透明等问题，完善城乡建设用地增减挂钩流程，建立省市县三级联动的增减挂钩业务协同流程，完善业务指标项和材料项，实现拆旧区复垦与建新区使用空间落位匹配。</w:t>
            </w:r>
          </w:p>
          <w:p>
            <w:pPr>
              <w:pStyle w:val="null3"/>
              <w:ind w:firstLine="360"/>
            </w:pPr>
            <w:r>
              <w:rPr>
                <w:rFonts w:ascii="仿宋_GB2312" w:hAnsi="仿宋_GB2312" w:cs="仿宋_GB2312" w:eastAsia="仿宋_GB2312"/>
                <w:sz w:val="18"/>
                <w:color w:val="0000FF"/>
              </w:rPr>
              <w:t>4、开展“高效办成一件事”用地事项对接</w:t>
            </w:r>
          </w:p>
          <w:p>
            <w:pPr>
              <w:pStyle w:val="null3"/>
              <w:ind w:firstLine="360"/>
            </w:pPr>
            <w:r>
              <w:rPr>
                <w:rFonts w:ascii="仿宋_GB2312" w:hAnsi="仿宋_GB2312" w:cs="仿宋_GB2312" w:eastAsia="仿宋_GB2312"/>
                <w:sz w:val="18"/>
                <w:color w:val="0000FF"/>
              </w:rPr>
              <w:t>为打破部门数据壁垒，以</w:t>
            </w:r>
            <w:r>
              <w:rPr>
                <w:rFonts w:ascii="仿宋_GB2312" w:hAnsi="仿宋_GB2312" w:cs="仿宋_GB2312" w:eastAsia="仿宋_GB2312"/>
                <w:sz w:val="18"/>
                <w:color w:val="0000FF"/>
              </w:rPr>
              <w:t>“高效办成一件事”为牵引，建立项目用地预审和选址意见书业务与省发改委投资项目在线监管平台数据交互机制，提升业务的跨部门审批服务效能。</w:t>
            </w:r>
          </w:p>
          <w:p>
            <w:pPr>
              <w:pStyle w:val="null3"/>
              <w:ind w:firstLine="360"/>
            </w:pPr>
            <w:r>
              <w:rPr>
                <w:rFonts w:ascii="仿宋_GB2312" w:hAnsi="仿宋_GB2312" w:cs="仿宋_GB2312" w:eastAsia="仿宋_GB2312"/>
                <w:sz w:val="18"/>
                <w:color w:val="0000FF"/>
              </w:rPr>
              <w:t>5、定制化和个性化查询统计</w:t>
            </w:r>
          </w:p>
          <w:p>
            <w:pPr>
              <w:pStyle w:val="null3"/>
              <w:ind w:firstLine="360"/>
            </w:pPr>
            <w:r>
              <w:rPr>
                <w:rFonts w:ascii="仿宋_GB2312" w:hAnsi="仿宋_GB2312" w:cs="仿宋_GB2312" w:eastAsia="仿宋_GB2312"/>
                <w:sz w:val="18"/>
                <w:color w:val="0000FF"/>
              </w:rPr>
              <w:t>建立动态报表生成器，建设项目用地预审、农用地转用和土地征收、国家重点建设项目先行用地、一书三证及规划核实等业务的统计模板，同时支持业务的定制化、个性化查询条件，实现统计结果的展示和导出。</w:t>
            </w:r>
          </w:p>
          <w:p>
            <w:pPr>
              <w:pStyle w:val="null3"/>
              <w:ind w:firstLine="360"/>
            </w:pPr>
            <w:r>
              <w:rPr>
                <w:rFonts w:ascii="仿宋_GB2312" w:hAnsi="仿宋_GB2312" w:cs="仿宋_GB2312" w:eastAsia="仿宋_GB2312"/>
                <w:sz w:val="18"/>
                <w:color w:val="0000FF"/>
              </w:rPr>
              <w:t>（二）矿业权登记业务支撑能力提升</w:t>
            </w:r>
          </w:p>
          <w:p>
            <w:pPr>
              <w:pStyle w:val="null3"/>
              <w:ind w:firstLine="360"/>
            </w:pPr>
            <w:r>
              <w:rPr>
                <w:rFonts w:ascii="仿宋_GB2312" w:hAnsi="仿宋_GB2312" w:cs="仿宋_GB2312" w:eastAsia="仿宋_GB2312"/>
                <w:sz w:val="18"/>
                <w:color w:val="0000FF"/>
              </w:rPr>
              <w:t>1、推进矿业权由“审批登记”向“物权登记”转变</w:t>
            </w:r>
          </w:p>
          <w:p>
            <w:pPr>
              <w:pStyle w:val="null3"/>
              <w:ind w:firstLine="360"/>
            </w:pPr>
            <w:r>
              <w:rPr>
                <w:rFonts w:ascii="仿宋_GB2312" w:hAnsi="仿宋_GB2312" w:cs="仿宋_GB2312" w:eastAsia="仿宋_GB2312"/>
                <w:sz w:val="18"/>
                <w:color w:val="0000FF"/>
              </w:rPr>
              <w:t>根据自然资源部办公厅关于征求《自然资源部关于印发〈矿业权登记管理暂行办法〉的通知（征求意见稿）》等</w:t>
            </w:r>
            <w:r>
              <w:rPr>
                <w:rFonts w:ascii="仿宋_GB2312" w:hAnsi="仿宋_GB2312" w:cs="仿宋_GB2312" w:eastAsia="仿宋_GB2312"/>
                <w:sz w:val="18"/>
                <w:color w:val="0000FF"/>
              </w:rPr>
              <w:t>2个文件意见的函（自然资办函〔2025〕588号），完善矿业权登记业务，规范矿产资源勘查开采许可管理，优化业务流程和表单内容，精简审批要件，实现登记业务全流程线上审批和规范化的矿产资源勘查开采许可申报。</w:t>
            </w:r>
          </w:p>
          <w:p>
            <w:pPr>
              <w:pStyle w:val="null3"/>
              <w:ind w:firstLine="360"/>
            </w:pPr>
            <w:r>
              <w:rPr>
                <w:rFonts w:ascii="仿宋_GB2312" w:hAnsi="仿宋_GB2312" w:cs="仿宋_GB2312" w:eastAsia="仿宋_GB2312"/>
                <w:sz w:val="18"/>
                <w:color w:val="0000FF"/>
              </w:rPr>
              <w:t>2、推进矿业权管理信息公开</w:t>
            </w:r>
          </w:p>
          <w:p>
            <w:pPr>
              <w:pStyle w:val="null3"/>
              <w:ind w:firstLine="360"/>
            </w:pPr>
            <w:r>
              <w:rPr>
                <w:rFonts w:ascii="仿宋_GB2312" w:hAnsi="仿宋_GB2312" w:cs="仿宋_GB2312" w:eastAsia="仿宋_GB2312"/>
                <w:sz w:val="18"/>
                <w:color w:val="0000FF"/>
              </w:rPr>
              <w:t>提供矿业权管理等信息公开服务，包括冻结信息、暂扣信息等，进一步加大矿业权登记权限公开力度，持续推进矿业权管理信息公开，不断规范矿业权登记行为。</w:t>
            </w:r>
          </w:p>
          <w:p>
            <w:pPr>
              <w:pStyle w:val="null3"/>
              <w:ind w:firstLine="360"/>
            </w:pPr>
            <w:r>
              <w:rPr>
                <w:rFonts w:ascii="仿宋_GB2312" w:hAnsi="仿宋_GB2312" w:cs="仿宋_GB2312" w:eastAsia="仿宋_GB2312"/>
                <w:sz w:val="18"/>
                <w:color w:val="0000FF"/>
              </w:rPr>
              <w:t>（三）土地利用业务支撑能力提升</w:t>
            </w:r>
          </w:p>
          <w:p>
            <w:pPr>
              <w:pStyle w:val="null3"/>
              <w:ind w:firstLine="360"/>
            </w:pPr>
            <w:r>
              <w:rPr>
                <w:rFonts w:ascii="仿宋_GB2312" w:hAnsi="仿宋_GB2312" w:cs="仿宋_GB2312" w:eastAsia="仿宋_GB2312"/>
                <w:sz w:val="18"/>
                <w:color w:val="0000FF"/>
              </w:rPr>
              <w:t>建设覆盖省、市、县三级的陕西省土地市场动态监测与监管系统，实现建设用地由土地来源到供应计划、公告、交易、公示再到供后管理的全生命周期管理，实时掌握各地市、区县的土地供应情况，保障土地市场健康、稳定、有序发展。</w:t>
            </w:r>
          </w:p>
          <w:p>
            <w:pPr>
              <w:pStyle w:val="null3"/>
              <w:ind w:firstLine="360"/>
            </w:pPr>
            <w:r>
              <w:rPr>
                <w:rFonts w:ascii="仿宋_GB2312" w:hAnsi="仿宋_GB2312" w:cs="仿宋_GB2312" w:eastAsia="仿宋_GB2312"/>
                <w:sz w:val="18"/>
                <w:color w:val="0000FF"/>
              </w:rPr>
              <w:t>1、业务关系梳理</w:t>
            </w:r>
          </w:p>
          <w:p>
            <w:pPr>
              <w:pStyle w:val="null3"/>
              <w:ind w:firstLine="360"/>
            </w:pPr>
            <w:r>
              <w:rPr>
                <w:rFonts w:ascii="仿宋_GB2312" w:hAnsi="仿宋_GB2312" w:cs="仿宋_GB2312" w:eastAsia="仿宋_GB2312"/>
                <w:sz w:val="18"/>
                <w:color w:val="0000FF"/>
              </w:rPr>
              <w:t>梳理土地供应各环节业务流程和填报内容，实现各地市土地供应数据填报及实时、动态、可视化的全程全面监测监管。</w:t>
            </w:r>
          </w:p>
          <w:p>
            <w:pPr>
              <w:pStyle w:val="null3"/>
              <w:ind w:firstLine="360"/>
            </w:pPr>
            <w:r>
              <w:rPr>
                <w:rFonts w:ascii="仿宋_GB2312" w:hAnsi="仿宋_GB2312" w:cs="仿宋_GB2312" w:eastAsia="仿宋_GB2312"/>
                <w:sz w:val="18"/>
                <w:color w:val="0000FF"/>
              </w:rPr>
              <w:t>2、建立陕西省土地市场动态监测与监管系统</w:t>
            </w:r>
          </w:p>
          <w:p>
            <w:pPr>
              <w:pStyle w:val="null3"/>
              <w:ind w:firstLine="360"/>
            </w:pPr>
            <w:r>
              <w:rPr>
                <w:rFonts w:ascii="仿宋_GB2312" w:hAnsi="仿宋_GB2312" w:cs="仿宋_GB2312" w:eastAsia="仿宋_GB2312"/>
                <w:sz w:val="18"/>
                <w:color w:val="0000FF"/>
              </w:rPr>
              <w:t>包含供地方案、出让公告、交易情况、成交公示、供应结果、批而未供等模块。各地市通过系统填报、审核土地供应方案、出让公告、成交公示、交易信息、供应结果，省级层面进行汇总统计监管，掌握全省土地供应情况。</w:t>
            </w:r>
            <w:r>
              <w:rPr>
                <w:rFonts w:ascii="仿宋_GB2312" w:hAnsi="仿宋_GB2312" w:cs="仿宋_GB2312" w:eastAsia="仿宋_GB2312"/>
                <w:sz w:val="18"/>
                <w:color w:val="0000FF"/>
              </w:rPr>
              <w:t>同时，与陕西省用途管制监管系统打通，实时获取建设用地报批数据，省级批复与土地供应情况进行自动挂接分析，完成</w:t>
            </w:r>
            <w:r>
              <w:rPr>
                <w:rFonts w:ascii="仿宋_GB2312" w:hAnsi="仿宋_GB2312" w:cs="仿宋_GB2312" w:eastAsia="仿宋_GB2312"/>
                <w:sz w:val="18"/>
                <w:color w:val="0000FF"/>
              </w:rPr>
              <w:t>“从批到供”的信息闭环。</w:t>
            </w:r>
          </w:p>
          <w:p>
            <w:pPr>
              <w:pStyle w:val="null3"/>
              <w:ind w:firstLine="360"/>
            </w:pPr>
            <w:r>
              <w:rPr>
                <w:rFonts w:ascii="仿宋_GB2312" w:hAnsi="仿宋_GB2312" w:cs="仿宋_GB2312" w:eastAsia="仿宋_GB2312"/>
                <w:sz w:val="18"/>
                <w:color w:val="0000FF"/>
              </w:rPr>
              <w:t>3、建立土地供应项目库</w:t>
            </w:r>
          </w:p>
          <w:p>
            <w:pPr>
              <w:pStyle w:val="null3"/>
              <w:ind w:firstLine="360"/>
            </w:pPr>
            <w:r>
              <w:rPr>
                <w:rFonts w:ascii="仿宋_GB2312" w:hAnsi="仿宋_GB2312" w:cs="仿宋_GB2312" w:eastAsia="仿宋_GB2312"/>
                <w:sz w:val="18"/>
                <w:color w:val="0000FF"/>
              </w:rPr>
              <w:t>对全省供地数据进行统一建库，数据成果纳入陕西省国土空间基础信息平台中。业务办理过程中调用陕西省国土空间基础信息平台相关数据，提供成果查询展示、空间分析等应用。</w:t>
            </w:r>
          </w:p>
          <w:p>
            <w:pPr>
              <w:pStyle w:val="null3"/>
              <w:ind w:firstLine="360"/>
            </w:pPr>
            <w:r>
              <w:rPr>
                <w:rFonts w:ascii="仿宋_GB2312" w:hAnsi="仿宋_GB2312" w:cs="仿宋_GB2312" w:eastAsia="仿宋_GB2312"/>
                <w:sz w:val="18"/>
                <w:color w:val="0000FF"/>
              </w:rPr>
              <w:t>4、统计分析</w:t>
            </w:r>
          </w:p>
          <w:p>
            <w:pPr>
              <w:pStyle w:val="null3"/>
              <w:ind w:firstLine="360"/>
            </w:pPr>
            <w:r>
              <w:rPr>
                <w:rFonts w:ascii="仿宋_GB2312" w:hAnsi="仿宋_GB2312" w:cs="仿宋_GB2312" w:eastAsia="仿宋_GB2312"/>
                <w:sz w:val="18"/>
                <w:color w:val="0000FF"/>
              </w:rPr>
              <w:t>建立统计流程和报表体系，实现不同形式的统计报表输出，对全省供地情况、批而未供进行统计分析。</w:t>
            </w:r>
          </w:p>
          <w:p>
            <w:pPr>
              <w:pStyle w:val="null3"/>
              <w:ind w:firstLine="360"/>
            </w:pPr>
            <w:r>
              <w:rPr>
                <w:rFonts w:ascii="仿宋_GB2312" w:hAnsi="仿宋_GB2312" w:cs="仿宋_GB2312" w:eastAsia="仿宋_GB2312"/>
                <w:sz w:val="18"/>
                <w:color w:val="0000FF"/>
              </w:rPr>
              <w:t>（四）土地征收成片开发业务支撑能力提升</w:t>
            </w:r>
          </w:p>
          <w:p>
            <w:pPr>
              <w:pStyle w:val="null3"/>
              <w:ind w:firstLine="360"/>
            </w:pPr>
            <w:r>
              <w:rPr>
                <w:rFonts w:ascii="仿宋_GB2312" w:hAnsi="仿宋_GB2312" w:cs="仿宋_GB2312" w:eastAsia="仿宋_GB2312"/>
                <w:sz w:val="18"/>
                <w:color w:val="0000FF"/>
              </w:rPr>
              <w:t>以土地征收成片开发管理和方案质检系统为基础，对现有系统进行智能升级提升，构建省、市、县三级业务全在线场景，引入智能审批引擎技术、智能监管技术，优化质检能力，提高业务办理效率。</w:t>
            </w:r>
          </w:p>
          <w:p>
            <w:pPr>
              <w:pStyle w:val="null3"/>
              <w:ind w:firstLine="360"/>
            </w:pPr>
            <w:r>
              <w:rPr>
                <w:rFonts w:ascii="仿宋_GB2312" w:hAnsi="仿宋_GB2312" w:cs="仿宋_GB2312" w:eastAsia="仿宋_GB2312"/>
                <w:sz w:val="18"/>
                <w:color w:val="0000FF"/>
              </w:rPr>
              <w:t>1、对原有土地征收成片开发系统进行信创升级改造，所采用的数据库、服务器等软硬件选型均满足信创选型要求，提升信息安全管理和技术防护能力。</w:t>
            </w:r>
          </w:p>
          <w:p>
            <w:pPr>
              <w:pStyle w:val="null3"/>
              <w:ind w:firstLine="360"/>
            </w:pPr>
            <w:r>
              <w:rPr>
                <w:rFonts w:ascii="仿宋_GB2312" w:hAnsi="仿宋_GB2312" w:cs="仿宋_GB2312" w:eastAsia="仿宋_GB2312"/>
                <w:sz w:val="18"/>
                <w:color w:val="0000FF"/>
              </w:rPr>
              <w:t>2、完善土地征收成片开发方案省市县三级业务流程：实现省市县三级用户全面互联互通，引入前沿的流程引擎技术，定制化配置各级审批流程，确保县级用户能高效上报方案，市级用户在线完成审查，省级用户则在线上进行最终审批，从而优化整体流程效率。</w:t>
            </w:r>
          </w:p>
          <w:p>
            <w:pPr>
              <w:pStyle w:val="null3"/>
              <w:ind w:firstLine="360"/>
            </w:pPr>
            <w:r>
              <w:rPr>
                <w:rFonts w:ascii="仿宋_GB2312" w:hAnsi="仿宋_GB2312" w:cs="仿宋_GB2312" w:eastAsia="仿宋_GB2312"/>
                <w:sz w:val="18"/>
                <w:color w:val="0000FF"/>
              </w:rPr>
              <w:t>3、系统功能完善：增加土地征收成片开发方案业务合规性审查功能，实现项目边界与相关管控线的重叠分析对比，不符合管控要求的系统进行自动预警；增加统计分析功能，支持各种统计结果以表格形式进行导出。</w:t>
            </w:r>
          </w:p>
          <w:p>
            <w:pPr>
              <w:pStyle w:val="null3"/>
              <w:ind w:firstLine="360"/>
            </w:pPr>
            <w:r>
              <w:rPr>
                <w:rFonts w:ascii="仿宋_GB2312" w:hAnsi="仿宋_GB2312" w:cs="仿宋_GB2312" w:eastAsia="仿宋_GB2312"/>
                <w:sz w:val="18"/>
                <w:color w:val="0000FF"/>
              </w:rPr>
              <w:t>（五）完善基础支撑</w:t>
            </w:r>
          </w:p>
          <w:p>
            <w:pPr>
              <w:pStyle w:val="null3"/>
              <w:ind w:firstLine="360"/>
            </w:pPr>
            <w:r>
              <w:rPr>
                <w:rFonts w:ascii="仿宋_GB2312" w:hAnsi="仿宋_GB2312" w:cs="仿宋_GB2312" w:eastAsia="仿宋_GB2312"/>
                <w:sz w:val="18"/>
                <w:color w:val="0000FF"/>
              </w:rPr>
              <w:t>搭建专业报表工具，实现报表的多样化展示、交互分析、权限管理、定时调度、打印输出等需求，提高业务系统数据分析、可视化报表生成和统计能力，同时结合现有基础设施情况，确保各类应用场景稳定流畅运行，适时完善其他类相应基础资源设施。</w:t>
            </w:r>
          </w:p>
          <w:p>
            <w:pPr>
              <w:pStyle w:val="null3"/>
            </w:pPr>
            <w:r>
              <w:rPr>
                <w:rFonts w:ascii="仿宋_GB2312" w:hAnsi="仿宋_GB2312" w:cs="仿宋_GB2312" w:eastAsia="仿宋_GB2312"/>
                <w:sz w:val="18"/>
                <w:b/>
                <w:color w:val="0000FF"/>
              </w:rPr>
              <w:t>五、技术要求</w:t>
            </w:r>
          </w:p>
          <w:p>
            <w:pPr>
              <w:pStyle w:val="null3"/>
              <w:ind w:firstLine="360"/>
            </w:pPr>
            <w:r>
              <w:rPr>
                <w:rFonts w:ascii="仿宋_GB2312" w:hAnsi="仿宋_GB2312" w:cs="仿宋_GB2312" w:eastAsia="仿宋_GB2312"/>
                <w:sz w:val="18"/>
                <w:color w:val="0000FF"/>
              </w:rPr>
              <w:t>系统的技术要求主要包括性能、安全等方面。</w:t>
            </w:r>
          </w:p>
          <w:p>
            <w:pPr>
              <w:pStyle w:val="null3"/>
              <w:ind w:firstLine="360"/>
            </w:pPr>
            <w:r>
              <w:rPr>
                <w:rFonts w:ascii="仿宋_GB2312" w:hAnsi="仿宋_GB2312" w:cs="仿宋_GB2312" w:eastAsia="仿宋_GB2312"/>
                <w:sz w:val="18"/>
                <w:color w:val="0000FF"/>
              </w:rPr>
              <w:t>（一）系统性能要求</w:t>
            </w:r>
          </w:p>
          <w:p>
            <w:pPr>
              <w:pStyle w:val="null3"/>
              <w:ind w:firstLine="360"/>
            </w:pPr>
            <w:r>
              <w:rPr>
                <w:rFonts w:ascii="仿宋_GB2312" w:hAnsi="仿宋_GB2312" w:cs="仿宋_GB2312" w:eastAsia="仿宋_GB2312"/>
                <w:sz w:val="18"/>
                <w:color w:val="0000FF"/>
              </w:rPr>
              <w:t>1、系统具备可靠性和稳定性，支持7*24小时在线服务。</w:t>
            </w:r>
          </w:p>
          <w:p>
            <w:pPr>
              <w:pStyle w:val="null3"/>
              <w:ind w:firstLine="360"/>
            </w:pPr>
            <w:r>
              <w:rPr>
                <w:rFonts w:ascii="仿宋_GB2312" w:hAnsi="仿宋_GB2312" w:cs="仿宋_GB2312" w:eastAsia="仿宋_GB2312"/>
                <w:sz w:val="18"/>
                <w:color w:val="0000FF"/>
              </w:rPr>
              <w:t>2、支持用户数3000个，数据应支持300个用户的并发访问能力。</w:t>
            </w:r>
          </w:p>
          <w:p>
            <w:pPr>
              <w:pStyle w:val="null3"/>
              <w:ind w:firstLine="360"/>
            </w:pPr>
            <w:r>
              <w:rPr>
                <w:rFonts w:ascii="仿宋_GB2312" w:hAnsi="仿宋_GB2312" w:cs="仿宋_GB2312" w:eastAsia="仿宋_GB2312"/>
                <w:sz w:val="18"/>
                <w:color w:val="0000FF"/>
              </w:rPr>
              <w:t>3、系统响应速度指标。在最大并发访问情况下，系统数据查询平均响应时间小于2秒；在最大并发访问情况下，数据浏览单屏响应在2秒以内，在全省范围内数据查询平均响应时间不超过5秒。</w:t>
            </w:r>
          </w:p>
          <w:p>
            <w:pPr>
              <w:pStyle w:val="null3"/>
              <w:ind w:firstLine="360"/>
            </w:pPr>
            <w:r>
              <w:rPr>
                <w:rFonts w:ascii="仿宋_GB2312" w:hAnsi="仿宋_GB2312" w:cs="仿宋_GB2312" w:eastAsia="仿宋_GB2312"/>
                <w:sz w:val="18"/>
                <w:color w:val="0000FF"/>
              </w:rPr>
              <w:t>4、系统平均故障间隔时间≥10000h；故障响应时间≤2h；平均故障恢复时间≤8h；现场服务响应时间≤24h。</w:t>
            </w:r>
          </w:p>
          <w:p>
            <w:pPr>
              <w:pStyle w:val="null3"/>
              <w:ind w:firstLine="360"/>
            </w:pPr>
            <w:r>
              <w:rPr>
                <w:rFonts w:ascii="仿宋_GB2312" w:hAnsi="仿宋_GB2312" w:cs="仿宋_GB2312" w:eastAsia="仿宋_GB2312"/>
                <w:sz w:val="18"/>
                <w:color w:val="0000FF"/>
              </w:rPr>
              <w:t>（二）系统安全要求</w:t>
            </w:r>
          </w:p>
          <w:p>
            <w:pPr>
              <w:pStyle w:val="null3"/>
              <w:ind w:firstLine="360"/>
            </w:pPr>
            <w:r>
              <w:rPr>
                <w:rFonts w:ascii="仿宋_GB2312" w:hAnsi="仿宋_GB2312" w:cs="仿宋_GB2312" w:eastAsia="仿宋_GB2312"/>
                <w:sz w:val="18"/>
                <w:color w:val="0000FF"/>
              </w:rPr>
              <w:t>由于系统存储的相关数据精度较高，且需要网络传输，对系统安全性有较高要求。</w:t>
            </w:r>
          </w:p>
          <w:p>
            <w:pPr>
              <w:pStyle w:val="null3"/>
              <w:ind w:firstLine="360"/>
            </w:pPr>
            <w:r>
              <w:rPr>
                <w:rFonts w:ascii="仿宋_GB2312" w:hAnsi="仿宋_GB2312" w:cs="仿宋_GB2312" w:eastAsia="仿宋_GB2312"/>
                <w:sz w:val="18"/>
                <w:color w:val="0000FF"/>
              </w:rPr>
              <w:t>1、系统开发必须符合国家和自然资源部系统安全相关管理规定。</w:t>
            </w:r>
          </w:p>
          <w:p>
            <w:pPr>
              <w:pStyle w:val="null3"/>
              <w:ind w:firstLine="360"/>
            </w:pPr>
            <w:r>
              <w:rPr>
                <w:rFonts w:ascii="仿宋_GB2312" w:hAnsi="仿宋_GB2312" w:cs="仿宋_GB2312" w:eastAsia="仿宋_GB2312"/>
                <w:sz w:val="18"/>
                <w:color w:val="0000FF"/>
              </w:rPr>
              <w:t>2、系统需要有严格的用户和使用权限要求。</w:t>
            </w:r>
          </w:p>
          <w:p>
            <w:pPr>
              <w:pStyle w:val="null3"/>
              <w:ind w:firstLine="360"/>
            </w:pPr>
            <w:r>
              <w:rPr>
                <w:rFonts w:ascii="仿宋_GB2312" w:hAnsi="仿宋_GB2312" w:cs="仿宋_GB2312" w:eastAsia="仿宋_GB2312"/>
                <w:sz w:val="18"/>
                <w:color w:val="0000FF"/>
              </w:rPr>
              <w:t>3、建立定期备份机制，系统应具备相应的备份与恢复功能，要求保持系统数据最新，并保证能够快速有效地恢复数据。</w:t>
            </w:r>
          </w:p>
          <w:p>
            <w:pPr>
              <w:pStyle w:val="null3"/>
              <w:ind w:firstLine="360"/>
            </w:pPr>
            <w:r>
              <w:rPr>
                <w:rFonts w:ascii="仿宋_GB2312" w:hAnsi="仿宋_GB2312" w:cs="仿宋_GB2312" w:eastAsia="仿宋_GB2312"/>
                <w:sz w:val="18"/>
                <w:color w:val="0000FF"/>
              </w:rPr>
              <w:t>4、要求具备完备的日志功能。</w:t>
            </w:r>
          </w:p>
          <w:p>
            <w:pPr>
              <w:pStyle w:val="null3"/>
              <w:ind w:firstLine="360"/>
            </w:pPr>
            <w:r>
              <w:rPr>
                <w:rFonts w:ascii="仿宋_GB2312" w:hAnsi="仿宋_GB2312" w:cs="仿宋_GB2312" w:eastAsia="仿宋_GB2312"/>
                <w:sz w:val="18"/>
                <w:color w:val="0000FF"/>
              </w:rPr>
              <w:t>5、系统符合信息安全三级等保要求，并出具等保测评报告。</w:t>
            </w:r>
          </w:p>
          <w:p>
            <w:pPr>
              <w:pStyle w:val="null3"/>
              <w:ind w:firstLine="360"/>
            </w:pPr>
            <w:r>
              <w:rPr>
                <w:rFonts w:ascii="仿宋_GB2312" w:hAnsi="仿宋_GB2312" w:cs="仿宋_GB2312" w:eastAsia="仿宋_GB2312"/>
                <w:sz w:val="18"/>
                <w:color w:val="0000FF"/>
              </w:rPr>
              <w:t>6、运行环境需求，需提供可满足信创等体系稳定运行的基础运行资源。</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三</w:t>
            </w:r>
            <w:r>
              <w:rPr>
                <w:rFonts w:ascii="仿宋_GB2312" w:hAnsi="仿宋_GB2312" w:cs="仿宋_GB2312" w:eastAsia="仿宋_GB2312"/>
                <w:sz w:val="18"/>
                <w:color w:val="0000FF"/>
              </w:rPr>
              <w:t>）成果要求</w:t>
            </w:r>
          </w:p>
          <w:p>
            <w:pPr>
              <w:pStyle w:val="null3"/>
              <w:ind w:firstLine="360"/>
            </w:pPr>
            <w:r>
              <w:rPr>
                <w:rFonts w:ascii="仿宋_GB2312" w:hAnsi="仿宋_GB2312" w:cs="仿宋_GB2312" w:eastAsia="仿宋_GB2312"/>
                <w:sz w:val="18"/>
                <w:color w:val="0000FF"/>
              </w:rPr>
              <w:t>1、按照工期要求，必须完成全部系统开发、部署、交付使用并完成验收。</w:t>
            </w:r>
          </w:p>
          <w:p>
            <w:pPr>
              <w:pStyle w:val="null3"/>
              <w:ind w:firstLine="360"/>
            </w:pPr>
            <w:r>
              <w:rPr>
                <w:rFonts w:ascii="仿宋_GB2312" w:hAnsi="仿宋_GB2312" w:cs="仿宋_GB2312" w:eastAsia="仿宋_GB2312"/>
                <w:sz w:val="18"/>
                <w:color w:val="0000FF"/>
              </w:rPr>
              <w:t>2、成果提交地点为</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办公地。</w:t>
            </w:r>
          </w:p>
          <w:p>
            <w:pPr>
              <w:pStyle w:val="null3"/>
              <w:ind w:firstLine="360"/>
            </w:pPr>
            <w:r>
              <w:rPr>
                <w:rFonts w:ascii="仿宋_GB2312" w:hAnsi="仿宋_GB2312" w:cs="仿宋_GB2312" w:eastAsia="仿宋_GB2312"/>
                <w:sz w:val="18"/>
                <w:color w:val="0000FF"/>
              </w:rPr>
              <w:t>3、成果内容：系统安装文件、源代码及详细说明文档；项目实施过程中产生的各类文档，包括各类规范及标准化成果文档；系统开发及项目实施等相关文档，包括但不限于项目需求说明书、概要设计说明书、数据库设计说明书、系统测试报告、操作手册、用户手册。</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四</w:t>
            </w:r>
            <w:r>
              <w:rPr>
                <w:rFonts w:ascii="仿宋_GB2312" w:hAnsi="仿宋_GB2312" w:cs="仿宋_GB2312" w:eastAsia="仿宋_GB2312"/>
                <w:sz w:val="18"/>
                <w:color w:val="0000FF"/>
              </w:rPr>
              <w:t>）验收要求</w:t>
            </w:r>
          </w:p>
          <w:p>
            <w:pPr>
              <w:pStyle w:val="null3"/>
              <w:ind w:firstLine="360"/>
            </w:pPr>
            <w:r>
              <w:rPr>
                <w:rFonts w:ascii="仿宋_GB2312" w:hAnsi="仿宋_GB2312" w:cs="仿宋_GB2312" w:eastAsia="仿宋_GB2312"/>
                <w:sz w:val="18"/>
                <w:color w:val="0000FF"/>
              </w:rPr>
              <w:t>1、系统试运行期为1月，试运行结束后，系统功能、性能指标达到招标文件要求时，投标人即可发起项目验收申请，采购人收到验收申请7个工作日内需按照约定组织完成验收。</w:t>
            </w:r>
          </w:p>
          <w:p>
            <w:pPr>
              <w:pStyle w:val="null3"/>
              <w:ind w:firstLine="360"/>
            </w:pPr>
            <w:r>
              <w:rPr>
                <w:rFonts w:ascii="仿宋_GB2312" w:hAnsi="仿宋_GB2312" w:cs="仿宋_GB2312" w:eastAsia="仿宋_GB2312"/>
                <w:sz w:val="18"/>
                <w:color w:val="0000FF"/>
              </w:rPr>
              <w:t>2、采购人按国家有关规定以及</w:t>
            </w:r>
            <w:r>
              <w:rPr>
                <w:rFonts w:ascii="仿宋_GB2312" w:hAnsi="仿宋_GB2312" w:cs="仿宋_GB2312" w:eastAsia="仿宋_GB2312"/>
                <w:sz w:val="18"/>
                <w:color w:val="0000FF"/>
              </w:rPr>
              <w:t>招标</w:t>
            </w:r>
            <w:r>
              <w:rPr>
                <w:rFonts w:ascii="仿宋_GB2312" w:hAnsi="仿宋_GB2312" w:cs="仿宋_GB2312" w:eastAsia="仿宋_GB2312"/>
                <w:sz w:val="18"/>
                <w:color w:val="0000FF"/>
              </w:rPr>
              <w:t>文件的要求、投标人的</w:t>
            </w:r>
            <w:r>
              <w:rPr>
                <w:rFonts w:ascii="仿宋_GB2312" w:hAnsi="仿宋_GB2312" w:cs="仿宋_GB2312" w:eastAsia="仿宋_GB2312"/>
                <w:sz w:val="18"/>
                <w:color w:val="0000FF"/>
              </w:rPr>
              <w:t>投标</w:t>
            </w:r>
            <w:r>
              <w:rPr>
                <w:rFonts w:ascii="仿宋_GB2312" w:hAnsi="仿宋_GB2312" w:cs="仿宋_GB2312" w:eastAsia="仿宋_GB2312"/>
                <w:sz w:val="18"/>
                <w:color w:val="0000FF"/>
              </w:rPr>
              <w:t>文件及承诺与本项目合同约定标准进行验收。</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五</w:t>
            </w:r>
            <w:r>
              <w:rPr>
                <w:rFonts w:ascii="仿宋_GB2312" w:hAnsi="仿宋_GB2312" w:cs="仿宋_GB2312" w:eastAsia="仿宋_GB2312"/>
                <w:sz w:val="18"/>
                <w:color w:val="0000FF"/>
              </w:rPr>
              <w:t>）售后服务</w:t>
            </w:r>
          </w:p>
          <w:p>
            <w:pPr>
              <w:pStyle w:val="null3"/>
              <w:ind w:firstLine="360"/>
            </w:pPr>
            <w:r>
              <w:rPr>
                <w:rFonts w:ascii="仿宋_GB2312" w:hAnsi="仿宋_GB2312" w:cs="仿宋_GB2312" w:eastAsia="仿宋_GB2312"/>
                <w:sz w:val="18"/>
                <w:color w:val="0000FF"/>
              </w:rPr>
              <w:t>1、质量保证期1年（自提交服务成果并验收合格之日起计）。</w:t>
            </w:r>
          </w:p>
          <w:p>
            <w:pPr>
              <w:pStyle w:val="null3"/>
              <w:ind w:firstLine="360"/>
            </w:pPr>
            <w:r>
              <w:rPr>
                <w:rFonts w:ascii="仿宋_GB2312" w:hAnsi="仿宋_GB2312" w:cs="仿宋_GB2312" w:eastAsia="仿宋_GB2312"/>
                <w:sz w:val="18"/>
                <w:color w:val="0000FF"/>
              </w:rPr>
              <w:t>2、在质量保证期内，提供具体服务方式包括：</w:t>
            </w:r>
          </w:p>
          <w:p>
            <w:pPr>
              <w:pStyle w:val="null3"/>
              <w:ind w:firstLine="360"/>
            </w:pPr>
            <w:r>
              <w:rPr>
                <w:rFonts w:ascii="仿宋_GB2312" w:hAnsi="仿宋_GB2312" w:cs="仿宋_GB2312" w:eastAsia="仿宋_GB2312"/>
                <w:sz w:val="18"/>
                <w:color w:val="0000FF"/>
              </w:rPr>
              <w:t>提供7*24本地化技术支持服务，现场受理</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提出陕西省自然资源业务应用场景能力构建项目的问题。</w:t>
            </w:r>
          </w:p>
          <w:p>
            <w:pPr>
              <w:pStyle w:val="null3"/>
              <w:ind w:firstLine="360"/>
            </w:pPr>
            <w:r>
              <w:rPr>
                <w:rFonts w:ascii="仿宋_GB2312" w:hAnsi="仿宋_GB2312" w:cs="仿宋_GB2312" w:eastAsia="仿宋_GB2312"/>
                <w:sz w:val="18"/>
                <w:color w:val="0000FF"/>
              </w:rPr>
              <w:t>提供7*24客服热线电话服务，提供电话、QQ指导、网络远程协助等即时通讯工具对</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系统操作问题进行解答。</w:t>
            </w:r>
          </w:p>
          <w:p>
            <w:pPr>
              <w:pStyle w:val="null3"/>
              <w:ind w:firstLine="360"/>
            </w:pPr>
            <w:r>
              <w:rPr>
                <w:rFonts w:ascii="仿宋_GB2312" w:hAnsi="仿宋_GB2312" w:cs="仿宋_GB2312" w:eastAsia="仿宋_GB2312"/>
                <w:sz w:val="18"/>
                <w:color w:val="0000FF"/>
              </w:rPr>
              <w:t>为全省用户提供7*24小时电话远程技术支持服务。</w:t>
            </w:r>
          </w:p>
          <w:p>
            <w:pPr>
              <w:pStyle w:val="null3"/>
              <w:ind w:firstLine="360"/>
            </w:pPr>
            <w:r>
              <w:rPr>
                <w:rFonts w:ascii="仿宋_GB2312" w:hAnsi="仿宋_GB2312" w:cs="仿宋_GB2312" w:eastAsia="仿宋_GB2312"/>
                <w:sz w:val="18"/>
                <w:color w:val="0000FF"/>
              </w:rPr>
              <w:t>提供系统软件操作方面的全省集中培训服务，并提供相关培训文档或视频、技术资料等电子材料。</w:t>
            </w:r>
          </w:p>
          <w:p>
            <w:pPr>
              <w:pStyle w:val="null3"/>
              <w:ind w:firstLine="360"/>
            </w:pPr>
            <w:r>
              <w:rPr>
                <w:rFonts w:ascii="仿宋_GB2312" w:hAnsi="仿宋_GB2312" w:cs="仿宋_GB2312" w:eastAsia="仿宋_GB2312"/>
                <w:sz w:val="18"/>
                <w:color w:val="0000FF"/>
              </w:rPr>
              <w:t>3、故障响应时间：质保期内，投标人需在2小时内及时响应采购人的技术支持需求。具体响应服务方式包括：电话咨询、远程维护、用户培训和现场服务。</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六</w:t>
            </w:r>
            <w:r>
              <w:rPr>
                <w:rFonts w:ascii="仿宋_GB2312" w:hAnsi="仿宋_GB2312" w:cs="仿宋_GB2312" w:eastAsia="仿宋_GB2312"/>
                <w:sz w:val="18"/>
                <w:color w:val="0000FF"/>
              </w:rPr>
              <w:t>）培训要求</w:t>
            </w:r>
          </w:p>
          <w:p>
            <w:pPr>
              <w:pStyle w:val="null3"/>
              <w:ind w:firstLine="360"/>
            </w:pPr>
            <w:r>
              <w:rPr>
                <w:rFonts w:ascii="仿宋_GB2312" w:hAnsi="仿宋_GB2312" w:cs="仿宋_GB2312" w:eastAsia="仿宋_GB2312"/>
                <w:sz w:val="18"/>
                <w:color w:val="0000FF"/>
              </w:rPr>
              <w:t>负责</w:t>
            </w:r>
            <w:r>
              <w:rPr>
                <w:rFonts w:ascii="仿宋_GB2312" w:hAnsi="仿宋_GB2312" w:cs="仿宋_GB2312" w:eastAsia="仿宋_GB2312"/>
                <w:sz w:val="18"/>
                <w:color w:val="0000FF"/>
              </w:rPr>
              <w:t>提供系统演示、讲解培训服务（不含场地费用及其他会务支出）及</w:t>
            </w:r>
            <w:r>
              <w:rPr>
                <w:rFonts w:ascii="仿宋_GB2312" w:hAnsi="仿宋_GB2312" w:cs="仿宋_GB2312" w:eastAsia="仿宋_GB2312"/>
                <w:sz w:val="18"/>
                <w:color w:val="0000FF"/>
              </w:rPr>
              <w:t>制定</w:t>
            </w:r>
            <w:r>
              <w:rPr>
                <w:rFonts w:ascii="仿宋_GB2312" w:hAnsi="仿宋_GB2312" w:cs="仿宋_GB2312" w:eastAsia="仿宋_GB2312"/>
                <w:sz w:val="18"/>
                <w:color w:val="0000FF"/>
              </w:rPr>
              <w:t>相应的培训计划。</w:t>
            </w:r>
          </w:p>
          <w:p>
            <w:pPr>
              <w:pStyle w:val="null3"/>
              <w:ind w:firstLine="360"/>
            </w:pPr>
            <w:r>
              <w:rPr>
                <w:rFonts w:ascii="仿宋_GB2312" w:hAnsi="仿宋_GB2312" w:cs="仿宋_GB2312" w:eastAsia="仿宋_GB2312"/>
                <w:sz w:val="18"/>
                <w:color w:val="0000FF"/>
              </w:rPr>
              <w:t>1、通过培训服务，预期达到以下效果：</w:t>
            </w:r>
          </w:p>
          <w:p>
            <w:pPr>
              <w:pStyle w:val="null3"/>
              <w:ind w:firstLine="360"/>
            </w:pPr>
            <w:r>
              <w:rPr>
                <w:rFonts w:ascii="仿宋_GB2312" w:hAnsi="仿宋_GB2312" w:cs="仿宋_GB2312" w:eastAsia="仿宋_GB2312"/>
                <w:sz w:val="18"/>
                <w:color w:val="0000FF"/>
              </w:rPr>
              <w:t>系统操作员：如业务管理员、软件实施维护人员等，可熟练应用本系统进行业务管理和操作；</w:t>
            </w:r>
          </w:p>
          <w:p>
            <w:pPr>
              <w:pStyle w:val="null3"/>
              <w:ind w:firstLine="360"/>
            </w:pPr>
            <w:r>
              <w:rPr>
                <w:rFonts w:ascii="仿宋_GB2312" w:hAnsi="仿宋_GB2312" w:cs="仿宋_GB2312" w:eastAsia="仿宋_GB2312"/>
                <w:sz w:val="18"/>
                <w:color w:val="0000FF"/>
              </w:rPr>
              <w:t>系统管理员：如系统管理员和数据库管理员，能独立完成系统的使用与维护工作，掌握系统运行情况并及时排除大部分系统故障。</w:t>
            </w:r>
          </w:p>
          <w:p>
            <w:pPr>
              <w:pStyle w:val="null3"/>
              <w:ind w:firstLine="360"/>
            </w:pPr>
            <w:r>
              <w:rPr>
                <w:rFonts w:ascii="仿宋_GB2312" w:hAnsi="仿宋_GB2312" w:cs="仿宋_GB2312" w:eastAsia="仿宋_GB2312"/>
                <w:sz w:val="18"/>
                <w:color w:val="0000FF"/>
              </w:rPr>
              <w:t>2、针对培训内容采取以下方式：</w:t>
            </w:r>
          </w:p>
          <w:p>
            <w:pPr>
              <w:pStyle w:val="null3"/>
              <w:ind w:firstLine="360"/>
            </w:pPr>
            <w:r>
              <w:rPr>
                <w:rFonts w:ascii="仿宋_GB2312" w:hAnsi="仿宋_GB2312" w:cs="仿宋_GB2312" w:eastAsia="仿宋_GB2312"/>
                <w:sz w:val="18"/>
                <w:color w:val="0000FF"/>
              </w:rPr>
              <w:t>书面讲解</w:t>
            </w:r>
          </w:p>
          <w:p>
            <w:pPr>
              <w:pStyle w:val="null3"/>
              <w:ind w:firstLine="360"/>
            </w:pPr>
            <w:r>
              <w:rPr>
                <w:rFonts w:ascii="仿宋_GB2312" w:hAnsi="仿宋_GB2312" w:cs="仿宋_GB2312" w:eastAsia="仿宋_GB2312"/>
                <w:sz w:val="18"/>
                <w:color w:val="0000FF"/>
              </w:rPr>
              <w:t>根据项目要求提供的培训教材，由驻场技术支持人员向指定的培训人员讲授整个系统的组成、工作原理和主要功能。</w:t>
            </w:r>
          </w:p>
          <w:p>
            <w:pPr>
              <w:pStyle w:val="null3"/>
              <w:ind w:firstLine="360"/>
            </w:pPr>
            <w:r>
              <w:rPr>
                <w:rFonts w:ascii="仿宋_GB2312" w:hAnsi="仿宋_GB2312" w:cs="仿宋_GB2312" w:eastAsia="仿宋_GB2312"/>
                <w:sz w:val="18"/>
                <w:color w:val="0000FF"/>
              </w:rPr>
              <w:t>实际操作</w:t>
            </w:r>
          </w:p>
          <w:p>
            <w:pPr>
              <w:pStyle w:val="null3"/>
              <w:ind w:firstLine="360"/>
            </w:pPr>
            <w:r>
              <w:rPr>
                <w:rFonts w:ascii="仿宋_GB2312" w:hAnsi="仿宋_GB2312" w:cs="仿宋_GB2312" w:eastAsia="仿宋_GB2312"/>
                <w:sz w:val="18"/>
                <w:color w:val="0000FF"/>
              </w:rPr>
              <w:t>学习系统基本构成后，在驻场技术支持人员的讲解和指导下，带领培训人员进行实际操作。</w:t>
            </w:r>
          </w:p>
          <w:p>
            <w:pPr>
              <w:pStyle w:val="null3"/>
              <w:ind w:firstLine="360"/>
            </w:pPr>
            <w:r>
              <w:rPr>
                <w:rFonts w:ascii="仿宋_GB2312" w:hAnsi="仿宋_GB2312" w:cs="仿宋_GB2312" w:eastAsia="仿宋_GB2312"/>
                <w:sz w:val="18"/>
                <w:color w:val="0000FF"/>
              </w:rPr>
              <w:t>3、培训地点：培训地点由采购</w:t>
            </w:r>
            <w:r>
              <w:rPr>
                <w:rFonts w:ascii="仿宋_GB2312" w:hAnsi="仿宋_GB2312" w:cs="仿宋_GB2312" w:eastAsia="仿宋_GB2312"/>
                <w:sz w:val="18"/>
                <w:color w:val="0000FF"/>
              </w:rPr>
              <w:t>人</w:t>
            </w:r>
            <w:r>
              <w:rPr>
                <w:rFonts w:ascii="仿宋_GB2312" w:hAnsi="仿宋_GB2312" w:cs="仿宋_GB2312" w:eastAsia="仿宋_GB2312"/>
                <w:sz w:val="18"/>
                <w:color w:val="0000FF"/>
              </w:rPr>
              <w:t>指定，采取集中培训的形式，具体组织及场地提供由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负责。（培训以远程线上培训为主）</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七</w:t>
            </w:r>
            <w:r>
              <w:rPr>
                <w:rFonts w:ascii="仿宋_GB2312" w:hAnsi="仿宋_GB2312" w:cs="仿宋_GB2312" w:eastAsia="仿宋_GB2312"/>
                <w:sz w:val="18"/>
                <w:color w:val="0000FF"/>
              </w:rPr>
              <w:t>）人员要求</w:t>
            </w:r>
          </w:p>
          <w:p>
            <w:pPr>
              <w:pStyle w:val="null3"/>
              <w:ind w:firstLine="360"/>
            </w:pPr>
            <w:r>
              <w:rPr>
                <w:rFonts w:ascii="仿宋_GB2312" w:hAnsi="仿宋_GB2312" w:cs="仿宋_GB2312" w:eastAsia="仿宋_GB2312"/>
                <w:sz w:val="18"/>
                <w:color w:val="0000FF"/>
              </w:rPr>
              <w:t>1、选派得力的研究和服务人员，采取有效的管理组织形式，并在实施的过程中实行严密的控制，加强计划工作，抓紧阶段控制和中间决策等。在实施过程中核心人员在无特殊情况下不会进行随意调换。</w:t>
            </w:r>
          </w:p>
          <w:p>
            <w:pPr>
              <w:pStyle w:val="null3"/>
              <w:ind w:firstLine="360"/>
            </w:pPr>
            <w:r>
              <w:rPr>
                <w:rFonts w:ascii="仿宋_GB2312" w:hAnsi="仿宋_GB2312" w:cs="仿宋_GB2312" w:eastAsia="仿宋_GB2312"/>
                <w:sz w:val="18"/>
                <w:color w:val="0000FF"/>
              </w:rPr>
              <w:t>2、投标人须提供针对本项目的详细人员配备情况说明。要求拟派项目成员相关专业人员搭配合理、职能健全，岗位分工明确、职责清晰，包括人员配备情况及水平、人员安排、专业配置、从业经历、参与工作经验等方面，均应满足本项目采购需求。</w:t>
            </w:r>
          </w:p>
          <w:p>
            <w:pPr>
              <w:pStyle w:val="null3"/>
              <w:ind w:firstLine="360"/>
            </w:pPr>
            <w:r>
              <w:rPr>
                <w:rFonts w:ascii="仿宋_GB2312" w:hAnsi="仿宋_GB2312" w:cs="仿宋_GB2312" w:eastAsia="仿宋_GB2312"/>
                <w:sz w:val="18"/>
                <w:color w:val="0000FF"/>
              </w:rPr>
              <w:t>3、投标人须提供不少于5人的固定人员驻场技术服务。</w:t>
            </w:r>
          </w:p>
          <w:p>
            <w:pPr>
              <w:pStyle w:val="null3"/>
              <w:ind w:firstLine="360"/>
            </w:pPr>
            <w:r>
              <w:rPr>
                <w:rFonts w:ascii="仿宋_GB2312" w:hAnsi="仿宋_GB2312" w:cs="仿宋_GB2312" w:eastAsia="仿宋_GB2312"/>
                <w:sz w:val="18"/>
                <w:color w:val="0000FF"/>
              </w:rPr>
              <w:t>（八）其他要求</w:t>
            </w:r>
          </w:p>
          <w:p>
            <w:pPr>
              <w:pStyle w:val="null3"/>
              <w:ind w:firstLine="360"/>
            </w:pPr>
            <w:r>
              <w:rPr>
                <w:rFonts w:ascii="仿宋_GB2312" w:hAnsi="仿宋_GB2312" w:cs="仿宋_GB2312" w:eastAsia="仿宋_GB2312"/>
                <w:sz w:val="18"/>
                <w:color w:val="0000FF"/>
              </w:rPr>
              <w:t>1、投标人按采购人要求，按时完成工作内容。</w:t>
            </w:r>
          </w:p>
          <w:p>
            <w:pPr>
              <w:pStyle w:val="null3"/>
              <w:ind w:firstLine="360"/>
            </w:pPr>
            <w:r>
              <w:rPr>
                <w:rFonts w:ascii="仿宋_GB2312" w:hAnsi="仿宋_GB2312" w:cs="仿宋_GB2312" w:eastAsia="仿宋_GB2312"/>
                <w:sz w:val="18"/>
                <w:color w:val="0000FF"/>
              </w:rPr>
              <w:t>2、投标人在项目实施过程中，必须严格遵守采购人的相关管理制度，并按照要求签订保密协议，不得有泄密、人为损坏采购人设备及工作成果、不遵守工作纪律等不法行为，由此造成的一切后果及法律责任由投标人承担。</w:t>
            </w:r>
          </w:p>
          <w:p>
            <w:pPr>
              <w:pStyle w:val="null3"/>
              <w:ind w:firstLine="360"/>
            </w:pPr>
            <w:r>
              <w:rPr>
                <w:rFonts w:ascii="仿宋_GB2312" w:hAnsi="仿宋_GB2312" w:cs="仿宋_GB2312" w:eastAsia="仿宋_GB2312"/>
                <w:sz w:val="18"/>
                <w:color w:val="0000FF"/>
              </w:rPr>
              <w:t>3、本项目在项目实施周期内开展技术支持的过程中，发生的人工成本（包括培训费用、设备费用以及相关差旅费用)由投标人承担。</w:t>
            </w:r>
          </w:p>
          <w:p>
            <w:pPr>
              <w:pStyle w:val="null3"/>
              <w:ind w:firstLine="360"/>
            </w:pPr>
            <w:r>
              <w:rPr>
                <w:rFonts w:ascii="仿宋_GB2312" w:hAnsi="仿宋_GB2312" w:cs="仿宋_GB2312" w:eastAsia="仿宋_GB2312"/>
                <w:sz w:val="18"/>
                <w:color w:val="0000FF"/>
              </w:rPr>
              <w:t>4、本项目自投标人中标之日起至成果提交验收合格日止，投标人将负责项目实施过程中的人身安全、财产安全、环境安全等一切安全责任。因项目实施过程中造成的直接或间接损失，均由投标人自行承担。</w:t>
            </w:r>
          </w:p>
          <w:p>
            <w:pPr>
              <w:pStyle w:val="null3"/>
              <w:ind w:firstLine="360"/>
            </w:pPr>
            <w:r>
              <w:rPr>
                <w:rFonts w:ascii="仿宋_GB2312" w:hAnsi="仿宋_GB2312" w:cs="仿宋_GB2312" w:eastAsia="仿宋_GB2312"/>
                <w:sz w:val="18"/>
                <w:color w:val="0000FF"/>
              </w:rPr>
              <w:t>5、本项目工作数据属于保密数据，投标人工作过程中必须严格按照国家保密工作规程操作，以保障对整个工作成果及接触到的相关工作资料进行保密。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标的名称：陕西省自然资源业务应用场景能力构建项目（二包）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18"/>
                <w:b/>
                <w:color w:val="0000FF"/>
              </w:rPr>
              <w:t>一、建设背景</w:t>
            </w:r>
          </w:p>
          <w:p>
            <w:pPr>
              <w:pStyle w:val="null3"/>
              <w:ind w:firstLine="360"/>
            </w:pPr>
            <w:r>
              <w:rPr>
                <w:rFonts w:ascii="仿宋_GB2312" w:hAnsi="仿宋_GB2312" w:cs="仿宋_GB2312" w:eastAsia="仿宋_GB2312"/>
                <w:sz w:val="18"/>
                <w:color w:val="0000FF"/>
              </w:rPr>
              <w:t>2023年，中国国土勘测规划院提出院系合作共建“国土调查云”，瞄准提升自然资源核心业务监测监管一体化、信息化和工程化应用水平行动方针，加快推进“国土调查云”分中心建设，进一步夯实其在自然资源调查监测监管领域多元化应用能力，纵深推进国家和地方国土空间治理现代化能力提升。</w:t>
            </w:r>
          </w:p>
          <w:p>
            <w:pPr>
              <w:pStyle w:val="null3"/>
              <w:ind w:firstLine="360"/>
            </w:pPr>
            <w:r>
              <w:rPr>
                <w:rFonts w:ascii="仿宋_GB2312" w:hAnsi="仿宋_GB2312" w:cs="仿宋_GB2312" w:eastAsia="仿宋_GB2312"/>
                <w:sz w:val="18"/>
                <w:color w:val="0000FF"/>
              </w:rPr>
              <w:t>2024年我省按照部国土调查云分中心建设的相关标准要求，基于陕西省自然资源调查监测的现状情况和已有基础，开展了陕西分中心门户设计，初步建设了国土调查云陕西分中心。</w:t>
            </w:r>
          </w:p>
          <w:p>
            <w:pPr>
              <w:pStyle w:val="null3"/>
              <w:ind w:firstLine="360"/>
            </w:pPr>
            <w:r>
              <w:rPr>
                <w:rFonts w:ascii="仿宋_GB2312" w:hAnsi="仿宋_GB2312" w:cs="仿宋_GB2312" w:eastAsia="仿宋_GB2312"/>
                <w:sz w:val="18"/>
                <w:color w:val="0000FF"/>
              </w:rPr>
              <w:t>根据陕西分中心建设要求以及陕西省自然资源调查监测业务要求，统一调查监测应用，集成移民搬迁</w:t>
            </w:r>
            <w:r>
              <w:rPr>
                <w:rFonts w:ascii="仿宋_GB2312" w:hAnsi="仿宋_GB2312" w:cs="仿宋_GB2312" w:eastAsia="仿宋_GB2312"/>
                <w:sz w:val="18"/>
                <w:color w:val="0000FF"/>
              </w:rPr>
              <w:t>APP应用至陕西分中心APP，支撑全省开展自然资源各类专项业务外业调查举证工作。</w:t>
            </w:r>
          </w:p>
          <w:p>
            <w:pPr>
              <w:pStyle w:val="null3"/>
            </w:pPr>
            <w:r>
              <w:rPr>
                <w:rFonts w:ascii="仿宋_GB2312" w:hAnsi="仿宋_GB2312" w:cs="仿宋_GB2312" w:eastAsia="仿宋_GB2312"/>
                <w:sz w:val="18"/>
                <w:b/>
                <w:color w:val="0000FF"/>
              </w:rPr>
              <w:t>二、建设目标</w:t>
            </w:r>
          </w:p>
          <w:p>
            <w:pPr>
              <w:pStyle w:val="null3"/>
              <w:ind w:firstLine="360"/>
            </w:pPr>
            <w:r>
              <w:rPr>
                <w:rFonts w:ascii="仿宋_GB2312" w:hAnsi="仿宋_GB2312" w:cs="仿宋_GB2312" w:eastAsia="仿宋_GB2312"/>
                <w:sz w:val="18"/>
                <w:color w:val="0000FF"/>
              </w:rPr>
              <w:t>依托自然资源业务专网和政务外网，以陕西省国土空间基础信息平台为底座，充分利用</w:t>
            </w:r>
            <w:r>
              <w:rPr>
                <w:rFonts w:ascii="仿宋_GB2312" w:hAnsi="仿宋_GB2312" w:cs="仿宋_GB2312" w:eastAsia="仿宋_GB2312"/>
                <w:sz w:val="18"/>
                <w:color w:val="0000FF"/>
              </w:rPr>
              <w:t>“一张图”的基础数据，开展国土空间用途管制、矿业权审批、土地利用、土地征收成片开发等业务支撑场景能力构建提升工作，全面提升应用系统服务支撑能力和我省自然资源数字化管理水平。</w:t>
            </w:r>
          </w:p>
          <w:p>
            <w:pPr>
              <w:pStyle w:val="null3"/>
              <w:ind w:firstLine="360"/>
            </w:pPr>
            <w:r>
              <w:rPr>
                <w:rFonts w:ascii="仿宋_GB2312" w:hAnsi="仿宋_GB2312" w:cs="仿宋_GB2312" w:eastAsia="仿宋_GB2312"/>
                <w:sz w:val="18"/>
                <w:color w:val="0000FF"/>
              </w:rPr>
              <w:t>根据陕西分中心建设要求以及陕西省自然资源调查监测业务要求，统一调查监测应用，集成移民搬迁</w:t>
            </w:r>
            <w:r>
              <w:rPr>
                <w:rFonts w:ascii="仿宋_GB2312" w:hAnsi="仿宋_GB2312" w:cs="仿宋_GB2312" w:eastAsia="仿宋_GB2312"/>
                <w:sz w:val="18"/>
                <w:color w:val="0000FF"/>
              </w:rPr>
              <w:t>APP应用至陕西分中心APP，支撑全省开展自然资源各类专项业务外业调查举证工作。</w:t>
            </w:r>
          </w:p>
          <w:p>
            <w:pPr>
              <w:pStyle w:val="null3"/>
            </w:pPr>
            <w:r>
              <w:rPr>
                <w:rFonts w:ascii="仿宋_GB2312" w:hAnsi="仿宋_GB2312" w:cs="仿宋_GB2312" w:eastAsia="仿宋_GB2312"/>
                <w:sz w:val="18"/>
                <w:b/>
                <w:color w:val="0000FF"/>
              </w:rPr>
              <w:t>三、建设依据</w:t>
            </w:r>
          </w:p>
          <w:p>
            <w:pPr>
              <w:pStyle w:val="null3"/>
            </w:pPr>
            <w:r>
              <w:rPr>
                <w:rFonts w:ascii="仿宋_GB2312" w:hAnsi="仿宋_GB2312" w:cs="仿宋_GB2312" w:eastAsia="仿宋_GB2312"/>
                <w:sz w:val="18"/>
                <w:color w:val="0000FF"/>
              </w:rPr>
              <w:t xml:space="preserve">  1、政策依据：</w:t>
            </w:r>
          </w:p>
          <w:p>
            <w:pPr>
              <w:pStyle w:val="null3"/>
            </w:pPr>
            <w:r>
              <w:rPr>
                <w:rFonts w:ascii="仿宋_GB2312" w:hAnsi="仿宋_GB2312" w:cs="仿宋_GB2312" w:eastAsia="仿宋_GB2312"/>
                <w:sz w:val="18"/>
                <w:color w:val="0000FF"/>
              </w:rPr>
              <w:t xml:space="preserve"> （</w:t>
            </w:r>
            <w:r>
              <w:rPr>
                <w:rFonts w:ascii="仿宋_GB2312" w:hAnsi="仿宋_GB2312" w:cs="仿宋_GB2312" w:eastAsia="仿宋_GB2312"/>
                <w:sz w:val="18"/>
                <w:color w:val="0000FF"/>
              </w:rPr>
              <w:t>1）《自然资源数字化治理能力提升总体方案》</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 xml:space="preserve"> （</w:t>
            </w:r>
            <w:r>
              <w:rPr>
                <w:rFonts w:ascii="仿宋_GB2312" w:hAnsi="仿宋_GB2312" w:cs="仿宋_GB2312" w:eastAsia="仿宋_GB2312"/>
                <w:sz w:val="18"/>
                <w:color w:val="0000FF"/>
              </w:rPr>
              <w:t>2</w:t>
            </w:r>
            <w:r>
              <w:rPr>
                <w:rFonts w:ascii="仿宋_GB2312" w:hAnsi="仿宋_GB2312" w:cs="仿宋_GB2312" w:eastAsia="仿宋_GB2312"/>
                <w:sz w:val="18"/>
                <w:color w:val="0000FF"/>
              </w:rPr>
              <w:t>）《自然资源调查监测体系构建总体方案》</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 xml:space="preserve"> （</w:t>
            </w:r>
            <w:r>
              <w:rPr>
                <w:rFonts w:ascii="仿宋_GB2312" w:hAnsi="仿宋_GB2312" w:cs="仿宋_GB2312" w:eastAsia="仿宋_GB2312"/>
                <w:sz w:val="18"/>
                <w:color w:val="0000FF"/>
              </w:rPr>
              <w:t>3</w:t>
            </w:r>
            <w:r>
              <w:rPr>
                <w:rFonts w:ascii="仿宋_GB2312" w:hAnsi="仿宋_GB2312" w:cs="仿宋_GB2312" w:eastAsia="仿宋_GB2312"/>
                <w:sz w:val="18"/>
                <w:color w:val="0000FF"/>
              </w:rPr>
              <w:t>）《</w:t>
            </w:r>
            <w:r>
              <w:rPr>
                <w:rFonts w:ascii="仿宋_GB2312" w:hAnsi="仿宋_GB2312" w:cs="仿宋_GB2312" w:eastAsia="仿宋_GB2312"/>
                <w:sz w:val="18"/>
                <w:color w:val="0000FF"/>
              </w:rPr>
              <w:t>“国土调查云”建设发展规划（2024-2026）》</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 xml:space="preserve">  2、技术依据。</w:t>
            </w:r>
          </w:p>
          <w:p>
            <w:pPr>
              <w:pStyle w:val="null3"/>
            </w:pPr>
            <w:r>
              <w:rPr>
                <w:rFonts w:ascii="仿宋_GB2312" w:hAnsi="仿宋_GB2312" w:cs="仿宋_GB2312" w:eastAsia="仿宋_GB2312"/>
                <w:sz w:val="18"/>
                <w:color w:val="0000FF"/>
              </w:rPr>
              <w:t xml:space="preserve"> （</w:t>
            </w:r>
            <w:r>
              <w:rPr>
                <w:rFonts w:ascii="仿宋_GB2312" w:hAnsi="仿宋_GB2312" w:cs="仿宋_GB2312" w:eastAsia="仿宋_GB2312"/>
                <w:sz w:val="18"/>
                <w:color w:val="0000FF"/>
              </w:rPr>
              <w:t>1）《国土调查监测实地核实举证技术规范》</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color w:val="0000FF"/>
              </w:rPr>
              <w:t xml:space="preserve"> （</w:t>
            </w:r>
            <w:r>
              <w:rPr>
                <w:rFonts w:ascii="仿宋_GB2312" w:hAnsi="仿宋_GB2312" w:cs="仿宋_GB2312" w:eastAsia="仿宋_GB2312"/>
                <w:sz w:val="18"/>
                <w:color w:val="0000FF"/>
              </w:rPr>
              <w:t>2）《国土调查云部省共建分中心建设标准》</w:t>
            </w:r>
            <w:r>
              <w:rPr>
                <w:rFonts w:ascii="仿宋_GB2312" w:hAnsi="仿宋_GB2312" w:cs="仿宋_GB2312" w:eastAsia="仿宋_GB2312"/>
                <w:sz w:val="18"/>
                <w:color w:val="0000FF"/>
              </w:rPr>
              <w:t>。</w:t>
            </w:r>
          </w:p>
          <w:p>
            <w:pPr>
              <w:pStyle w:val="null3"/>
            </w:pPr>
            <w:r>
              <w:rPr>
                <w:rFonts w:ascii="仿宋_GB2312" w:hAnsi="仿宋_GB2312" w:cs="仿宋_GB2312" w:eastAsia="仿宋_GB2312"/>
                <w:sz w:val="18"/>
                <w:b/>
                <w:color w:val="0000FF"/>
              </w:rPr>
              <w:t>四、采购内容</w:t>
            </w:r>
          </w:p>
          <w:p>
            <w:pPr>
              <w:pStyle w:val="null3"/>
              <w:ind w:firstLine="360"/>
            </w:pPr>
            <w:r>
              <w:rPr>
                <w:rFonts w:ascii="仿宋_GB2312" w:hAnsi="仿宋_GB2312" w:cs="仿宋_GB2312" w:eastAsia="仿宋_GB2312"/>
                <w:sz w:val="18"/>
                <w:color w:val="0000FF"/>
              </w:rPr>
              <w:t>（一）业务整合</w:t>
            </w:r>
          </w:p>
          <w:p>
            <w:pPr>
              <w:pStyle w:val="null3"/>
              <w:ind w:firstLine="360"/>
            </w:pPr>
            <w:r>
              <w:rPr>
                <w:rFonts w:ascii="仿宋_GB2312" w:hAnsi="仿宋_GB2312" w:cs="仿宋_GB2312" w:eastAsia="仿宋_GB2312"/>
                <w:sz w:val="18"/>
                <w:color w:val="0000FF"/>
              </w:rPr>
              <w:t>根据陕西分中心建设要求以及陕西省自然资源调查监测业务要求，集成移民搬迁</w:t>
            </w:r>
            <w:r>
              <w:rPr>
                <w:rFonts w:ascii="仿宋_GB2312" w:hAnsi="仿宋_GB2312" w:cs="仿宋_GB2312" w:eastAsia="仿宋_GB2312"/>
                <w:sz w:val="18"/>
                <w:color w:val="0000FF"/>
              </w:rPr>
              <w:t>APP，形成陕西分中心APP，支撑全省开展自然资源各类专项业务外业调查举证工作。</w:t>
            </w:r>
          </w:p>
          <w:p>
            <w:pPr>
              <w:pStyle w:val="null3"/>
              <w:ind w:firstLine="360"/>
            </w:pPr>
            <w:r>
              <w:rPr>
                <w:rFonts w:ascii="仿宋_GB2312" w:hAnsi="仿宋_GB2312" w:cs="仿宋_GB2312" w:eastAsia="仿宋_GB2312"/>
                <w:sz w:val="18"/>
                <w:color w:val="0000FF"/>
              </w:rPr>
              <w:t>（二）日常变更业务</w:t>
            </w:r>
          </w:p>
          <w:p>
            <w:pPr>
              <w:pStyle w:val="null3"/>
              <w:ind w:firstLine="360"/>
            </w:pPr>
            <w:r>
              <w:rPr>
                <w:rFonts w:ascii="仿宋_GB2312" w:hAnsi="仿宋_GB2312" w:cs="仿宋_GB2312" w:eastAsia="仿宋_GB2312"/>
                <w:sz w:val="18"/>
                <w:color w:val="0000FF"/>
              </w:rPr>
              <w:t>支持当年度日常变更模块根据国家最新标准升级维护。根据日常变更工作要求，为县级外业调查、成果上报和省级审核等工作流程提供信息化支撑业务。</w:t>
            </w:r>
          </w:p>
          <w:p>
            <w:pPr>
              <w:pStyle w:val="null3"/>
              <w:ind w:firstLine="360"/>
            </w:pPr>
            <w:r>
              <w:rPr>
                <w:rFonts w:ascii="仿宋_GB2312" w:hAnsi="仿宋_GB2312" w:cs="仿宋_GB2312" w:eastAsia="仿宋_GB2312"/>
                <w:sz w:val="18"/>
                <w:color w:val="0000FF"/>
              </w:rPr>
              <w:t>（三）等保测评</w:t>
            </w:r>
          </w:p>
          <w:p>
            <w:pPr>
              <w:pStyle w:val="null3"/>
              <w:ind w:firstLine="360"/>
            </w:pPr>
            <w:r>
              <w:rPr>
                <w:rFonts w:ascii="仿宋_GB2312" w:hAnsi="仿宋_GB2312" w:cs="仿宋_GB2312" w:eastAsia="仿宋_GB2312"/>
                <w:sz w:val="18"/>
                <w:color w:val="0000FF"/>
              </w:rPr>
              <w:t>按照《信息安全技术网络安全等级保护测评要求》中的三级等保要求，构建陕西分中心网络和数据安全保障体系，并通过信息安全等级保护三级认证，同时加强部省合作，统筹云资源高效利用，共同加强网络和数据安全。</w:t>
            </w:r>
          </w:p>
          <w:p>
            <w:pPr>
              <w:pStyle w:val="null3"/>
              <w:ind w:firstLine="360"/>
            </w:pPr>
            <w:r>
              <w:rPr>
                <w:rFonts w:ascii="仿宋_GB2312" w:hAnsi="仿宋_GB2312" w:cs="仿宋_GB2312" w:eastAsia="仿宋_GB2312"/>
                <w:sz w:val="18"/>
                <w:color w:val="0000FF"/>
              </w:rPr>
              <w:t>（四）运维及服务</w:t>
            </w:r>
          </w:p>
          <w:p>
            <w:pPr>
              <w:pStyle w:val="null3"/>
              <w:ind w:firstLine="360"/>
            </w:pPr>
            <w:r>
              <w:rPr>
                <w:rFonts w:ascii="仿宋_GB2312" w:hAnsi="仿宋_GB2312" w:cs="仿宋_GB2312" w:eastAsia="仿宋_GB2312"/>
                <w:sz w:val="18"/>
                <w:color w:val="0000FF"/>
              </w:rPr>
              <w:t>1、日常维护</w:t>
            </w:r>
          </w:p>
          <w:p>
            <w:pPr>
              <w:pStyle w:val="null3"/>
              <w:ind w:firstLine="360"/>
            </w:pPr>
            <w:r>
              <w:rPr>
                <w:rFonts w:ascii="仿宋_GB2312" w:hAnsi="仿宋_GB2312" w:cs="仿宋_GB2312" w:eastAsia="仿宋_GB2312"/>
                <w:sz w:val="18"/>
                <w:color w:val="0000FF"/>
              </w:rPr>
              <w:t>保证日常系统正常运行，提供</w:t>
            </w:r>
            <w:r>
              <w:rPr>
                <w:rFonts w:ascii="仿宋_GB2312" w:hAnsi="仿宋_GB2312" w:cs="仿宋_GB2312" w:eastAsia="仿宋_GB2312"/>
                <w:sz w:val="18"/>
                <w:color w:val="0000FF"/>
              </w:rPr>
              <w:t xml:space="preserve"> 7*24小时维护，保证系统运行稳定。日常维护提供对应用程序的维护、应用系统运行中的关键日期的技术支持。在关键日期之前，系统责任工程师需配合应用部门的业务人员对关键程序做模拟测试，确保系统能够正常运行，并在关键日期当日在操作现场，协助业务人员操作使用。</w:t>
            </w:r>
          </w:p>
          <w:p>
            <w:pPr>
              <w:pStyle w:val="null3"/>
              <w:ind w:firstLine="360"/>
            </w:pPr>
            <w:r>
              <w:rPr>
                <w:rFonts w:ascii="仿宋_GB2312" w:hAnsi="仿宋_GB2312" w:cs="仿宋_GB2312" w:eastAsia="仿宋_GB2312"/>
                <w:sz w:val="18"/>
                <w:color w:val="0000FF"/>
              </w:rPr>
              <w:t>2、定期巡检</w:t>
            </w:r>
          </w:p>
          <w:p>
            <w:pPr>
              <w:pStyle w:val="null3"/>
              <w:ind w:firstLine="360"/>
            </w:pPr>
            <w:r>
              <w:rPr>
                <w:rFonts w:ascii="仿宋_GB2312" w:hAnsi="仿宋_GB2312" w:cs="仿宋_GB2312" w:eastAsia="仿宋_GB2312"/>
                <w:sz w:val="18"/>
                <w:color w:val="0000FF"/>
              </w:rPr>
              <w:t>项目组运维团队需在项目建设后运维阶段做到每一季度一次巡检，并提交巡检报告，正确了解用户系统运行状态，以便正确提供系统故障预防措施的建议，使用户系统处于最佳运行状态。</w:t>
            </w:r>
          </w:p>
          <w:p>
            <w:pPr>
              <w:pStyle w:val="null3"/>
              <w:ind w:firstLine="360"/>
            </w:pPr>
            <w:r>
              <w:rPr>
                <w:rFonts w:ascii="仿宋_GB2312" w:hAnsi="仿宋_GB2312" w:cs="仿宋_GB2312" w:eastAsia="仿宋_GB2312"/>
                <w:sz w:val="18"/>
                <w:color w:val="0000FF"/>
              </w:rPr>
              <w:t>3、系统运维</w:t>
            </w:r>
          </w:p>
          <w:p>
            <w:pPr>
              <w:pStyle w:val="null3"/>
              <w:ind w:firstLine="360"/>
            </w:pPr>
            <w:r>
              <w:rPr>
                <w:rFonts w:ascii="仿宋_GB2312" w:hAnsi="仿宋_GB2312" w:cs="仿宋_GB2312" w:eastAsia="仿宋_GB2312"/>
                <w:sz w:val="18"/>
                <w:color w:val="0000FF"/>
              </w:rPr>
              <w:t>在系统实际运行时，将定期根据业务运行情况、网络情况继续对系统参数提供优化，确保系统随着业务的发展能够持续、稳定、高效地运行。</w:t>
            </w:r>
          </w:p>
          <w:p>
            <w:pPr>
              <w:pStyle w:val="null3"/>
              <w:ind w:firstLine="360"/>
            </w:pPr>
            <w:r>
              <w:rPr>
                <w:rFonts w:ascii="仿宋_GB2312" w:hAnsi="仿宋_GB2312" w:cs="仿宋_GB2312" w:eastAsia="仿宋_GB2312"/>
                <w:sz w:val="18"/>
                <w:color w:val="0000FF"/>
              </w:rPr>
              <w:t>4、性能优化</w:t>
            </w:r>
          </w:p>
          <w:p>
            <w:pPr>
              <w:pStyle w:val="null3"/>
              <w:ind w:firstLine="360"/>
            </w:pPr>
            <w:r>
              <w:rPr>
                <w:rFonts w:ascii="仿宋_GB2312" w:hAnsi="仿宋_GB2312" w:cs="仿宋_GB2312" w:eastAsia="仿宋_GB2312"/>
                <w:sz w:val="18"/>
                <w:color w:val="0000FF"/>
              </w:rPr>
              <w:t>数据库性能优化：定期对数据库进行性能调优，以保障系统的稳定高效运行。</w:t>
            </w:r>
          </w:p>
          <w:p>
            <w:pPr>
              <w:pStyle w:val="null3"/>
              <w:ind w:firstLine="360"/>
            </w:pPr>
            <w:r>
              <w:rPr>
                <w:rFonts w:ascii="仿宋_GB2312" w:hAnsi="仿宋_GB2312" w:cs="仿宋_GB2312" w:eastAsia="仿宋_GB2312"/>
                <w:sz w:val="18"/>
                <w:color w:val="0000FF"/>
              </w:rPr>
              <w:t>5、服务支持</w:t>
            </w:r>
          </w:p>
          <w:p>
            <w:pPr>
              <w:pStyle w:val="null3"/>
              <w:ind w:firstLine="360"/>
            </w:pPr>
            <w:r>
              <w:rPr>
                <w:rFonts w:ascii="仿宋_GB2312" w:hAnsi="仿宋_GB2312" w:cs="仿宋_GB2312" w:eastAsia="仿宋_GB2312"/>
                <w:sz w:val="18"/>
                <w:color w:val="0000FF"/>
              </w:rPr>
              <w:t>对分中心正在运行的各业务处室业务提供全天候保障，确保各业务稳定运行。对于分中心能够支撑的业务进行快速自定义配置，确保各业务处室应急任务紧急开展。</w:t>
            </w:r>
          </w:p>
          <w:p>
            <w:pPr>
              <w:pStyle w:val="null3"/>
            </w:pPr>
            <w:r>
              <w:rPr>
                <w:rFonts w:ascii="仿宋_GB2312" w:hAnsi="仿宋_GB2312" w:cs="仿宋_GB2312" w:eastAsia="仿宋_GB2312"/>
                <w:sz w:val="18"/>
                <w:b/>
                <w:color w:val="0000FF"/>
              </w:rPr>
              <w:t>五、技术要求</w:t>
            </w:r>
          </w:p>
          <w:p>
            <w:pPr>
              <w:pStyle w:val="null3"/>
              <w:ind w:firstLine="360"/>
            </w:pPr>
            <w:r>
              <w:rPr>
                <w:rFonts w:ascii="仿宋_GB2312" w:hAnsi="仿宋_GB2312" w:cs="仿宋_GB2312" w:eastAsia="仿宋_GB2312"/>
                <w:sz w:val="18"/>
                <w:color w:val="0000FF"/>
              </w:rPr>
              <w:t>系统的技术要求主要包括性能、安全等方面。</w:t>
            </w:r>
          </w:p>
          <w:p>
            <w:pPr>
              <w:pStyle w:val="null3"/>
              <w:ind w:firstLine="360"/>
            </w:pPr>
            <w:r>
              <w:rPr>
                <w:rFonts w:ascii="仿宋_GB2312" w:hAnsi="仿宋_GB2312" w:cs="仿宋_GB2312" w:eastAsia="仿宋_GB2312"/>
                <w:sz w:val="18"/>
                <w:color w:val="0000FF"/>
              </w:rPr>
              <w:t>（一）系统性能要求</w:t>
            </w:r>
          </w:p>
          <w:p>
            <w:pPr>
              <w:pStyle w:val="null3"/>
              <w:ind w:firstLine="360"/>
            </w:pPr>
            <w:r>
              <w:rPr>
                <w:rFonts w:ascii="仿宋_GB2312" w:hAnsi="仿宋_GB2312" w:cs="仿宋_GB2312" w:eastAsia="仿宋_GB2312"/>
                <w:sz w:val="18"/>
                <w:color w:val="0000FF"/>
              </w:rPr>
              <w:t>1、系统一般页面的平均查询操作响应时间不高于3秒/次；系统特殊查询统计的平均统计操作响应时间不高于10秒/次；系统的平均更新操作响应时间不高于3秒/次。</w:t>
            </w:r>
          </w:p>
          <w:p>
            <w:pPr>
              <w:pStyle w:val="null3"/>
              <w:ind w:firstLine="360"/>
            </w:pPr>
            <w:r>
              <w:rPr>
                <w:rFonts w:ascii="仿宋_GB2312" w:hAnsi="仿宋_GB2312" w:cs="仿宋_GB2312" w:eastAsia="仿宋_GB2312"/>
                <w:sz w:val="18"/>
                <w:color w:val="0000FF"/>
              </w:rPr>
              <w:t>2、吞吐量要求：</w:t>
            </w:r>
          </w:p>
          <w:p>
            <w:pPr>
              <w:pStyle w:val="null3"/>
              <w:ind w:firstLine="360"/>
            </w:pPr>
            <w:r>
              <w:rPr>
                <w:rFonts w:ascii="仿宋_GB2312" w:hAnsi="仿宋_GB2312" w:cs="仿宋_GB2312" w:eastAsia="仿宋_GB2312"/>
                <w:sz w:val="18"/>
                <w:color w:val="0000FF"/>
              </w:rPr>
              <w:t>服务器资源满足的情况下每分钟并发请求数</w:t>
            </w:r>
            <w:r>
              <w:rPr>
                <w:rFonts w:ascii="仿宋_GB2312" w:hAnsi="仿宋_GB2312" w:cs="仿宋_GB2312" w:eastAsia="仿宋_GB2312"/>
                <w:sz w:val="18"/>
                <w:color w:val="0000FF"/>
              </w:rPr>
              <w:t>50个以上。高峰时段单位小时内在线用户数1000个以上；数据存储量10TB。</w:t>
            </w:r>
          </w:p>
          <w:p>
            <w:pPr>
              <w:pStyle w:val="null3"/>
              <w:ind w:firstLine="360"/>
            </w:pPr>
            <w:r>
              <w:rPr>
                <w:rFonts w:ascii="仿宋_GB2312" w:hAnsi="仿宋_GB2312" w:cs="仿宋_GB2312" w:eastAsia="仿宋_GB2312"/>
                <w:sz w:val="18"/>
                <w:color w:val="0000FF"/>
              </w:rPr>
              <w:t>3、移动端APP兼容市面上主流品牌的Android 5.0版本以上操作系统手机，如华为、小米、vivo、魅族、三星、oppo 等品牌。</w:t>
            </w:r>
          </w:p>
          <w:p>
            <w:pPr>
              <w:pStyle w:val="null3"/>
              <w:ind w:firstLine="360"/>
            </w:pPr>
            <w:r>
              <w:rPr>
                <w:rFonts w:ascii="仿宋_GB2312" w:hAnsi="仿宋_GB2312" w:cs="仿宋_GB2312" w:eastAsia="仿宋_GB2312"/>
                <w:sz w:val="18"/>
                <w:color w:val="0000FF"/>
              </w:rPr>
              <w:t>（二）系统安全要求</w:t>
            </w:r>
          </w:p>
          <w:p>
            <w:pPr>
              <w:pStyle w:val="null3"/>
              <w:ind w:firstLine="360"/>
            </w:pPr>
            <w:r>
              <w:rPr>
                <w:rFonts w:ascii="仿宋_GB2312" w:hAnsi="仿宋_GB2312" w:cs="仿宋_GB2312" w:eastAsia="仿宋_GB2312"/>
                <w:sz w:val="18"/>
                <w:color w:val="0000FF"/>
              </w:rPr>
              <w:t>系统应符合信息安全三级等保要求，并出具等保测评报告。</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三</w:t>
            </w:r>
            <w:r>
              <w:rPr>
                <w:rFonts w:ascii="仿宋_GB2312" w:hAnsi="仿宋_GB2312" w:cs="仿宋_GB2312" w:eastAsia="仿宋_GB2312"/>
                <w:sz w:val="18"/>
                <w:color w:val="0000FF"/>
              </w:rPr>
              <w:t>）成果要求</w:t>
            </w:r>
          </w:p>
          <w:p>
            <w:pPr>
              <w:pStyle w:val="null3"/>
              <w:ind w:firstLine="360"/>
            </w:pPr>
            <w:r>
              <w:rPr>
                <w:rFonts w:ascii="仿宋_GB2312" w:hAnsi="仿宋_GB2312" w:cs="仿宋_GB2312" w:eastAsia="仿宋_GB2312"/>
                <w:sz w:val="18"/>
                <w:color w:val="0000FF"/>
              </w:rPr>
              <w:t>1、按照工期要求，必须完成全部系统开发、部署、交付使用并完成验收。</w:t>
            </w:r>
          </w:p>
          <w:p>
            <w:pPr>
              <w:pStyle w:val="null3"/>
              <w:ind w:firstLine="360"/>
            </w:pPr>
            <w:r>
              <w:rPr>
                <w:rFonts w:ascii="仿宋_GB2312" w:hAnsi="仿宋_GB2312" w:cs="仿宋_GB2312" w:eastAsia="仿宋_GB2312"/>
                <w:sz w:val="18"/>
                <w:color w:val="0000FF"/>
              </w:rPr>
              <w:t>2、项目成果提交地点为</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办公地。</w:t>
            </w:r>
          </w:p>
          <w:p>
            <w:pPr>
              <w:pStyle w:val="null3"/>
              <w:ind w:firstLine="360"/>
            </w:pPr>
            <w:r>
              <w:rPr>
                <w:rFonts w:ascii="仿宋_GB2312" w:hAnsi="仿宋_GB2312" w:cs="仿宋_GB2312" w:eastAsia="仿宋_GB2312"/>
                <w:sz w:val="18"/>
                <w:color w:val="0000FF"/>
              </w:rPr>
              <w:t>3、项目交付成果内容：</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1）国土调查云陕西分中心业务整合实施方案。</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2）国土调查云陕西分中心日常变更业务部署程序。</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3）国土调查云陕西分中心统一APP安装程序。</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4）国土调查云陕西分中心三级等保测评报告、证书和备案资料。</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5）国土调查云陕西分中心运维及服务清单。</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四</w:t>
            </w:r>
            <w:r>
              <w:rPr>
                <w:rFonts w:ascii="仿宋_GB2312" w:hAnsi="仿宋_GB2312" w:cs="仿宋_GB2312" w:eastAsia="仿宋_GB2312"/>
                <w:sz w:val="18"/>
                <w:color w:val="0000FF"/>
              </w:rPr>
              <w:t>）验收要求</w:t>
            </w:r>
          </w:p>
          <w:p>
            <w:pPr>
              <w:pStyle w:val="null3"/>
              <w:ind w:firstLine="360"/>
            </w:pPr>
            <w:r>
              <w:rPr>
                <w:rFonts w:ascii="仿宋_GB2312" w:hAnsi="仿宋_GB2312" w:cs="仿宋_GB2312" w:eastAsia="仿宋_GB2312"/>
                <w:sz w:val="18"/>
                <w:color w:val="0000FF"/>
              </w:rPr>
              <w:t>1、系统试运行期为1月，试运行结束后，系统功能、性能指标达到招标文件要求时，投标人即可发起项目验收申请，采购人收到验收申请7个工作日内需按照约定组织完成验收。</w:t>
            </w:r>
          </w:p>
          <w:p>
            <w:pPr>
              <w:pStyle w:val="null3"/>
              <w:ind w:firstLine="360"/>
            </w:pPr>
            <w:r>
              <w:rPr>
                <w:rFonts w:ascii="仿宋_GB2312" w:hAnsi="仿宋_GB2312" w:cs="仿宋_GB2312" w:eastAsia="仿宋_GB2312"/>
                <w:sz w:val="18"/>
                <w:color w:val="0000FF"/>
              </w:rPr>
              <w:t>2、采购人按国家有关规定以及</w:t>
            </w:r>
            <w:r>
              <w:rPr>
                <w:rFonts w:ascii="仿宋_GB2312" w:hAnsi="仿宋_GB2312" w:cs="仿宋_GB2312" w:eastAsia="仿宋_GB2312"/>
                <w:sz w:val="18"/>
                <w:color w:val="0000FF"/>
              </w:rPr>
              <w:t>招标</w:t>
            </w:r>
            <w:r>
              <w:rPr>
                <w:rFonts w:ascii="仿宋_GB2312" w:hAnsi="仿宋_GB2312" w:cs="仿宋_GB2312" w:eastAsia="仿宋_GB2312"/>
                <w:sz w:val="18"/>
                <w:color w:val="0000FF"/>
              </w:rPr>
              <w:t>文件的要求、投标人的</w:t>
            </w:r>
            <w:r>
              <w:rPr>
                <w:rFonts w:ascii="仿宋_GB2312" w:hAnsi="仿宋_GB2312" w:cs="仿宋_GB2312" w:eastAsia="仿宋_GB2312"/>
                <w:sz w:val="18"/>
                <w:color w:val="0000FF"/>
              </w:rPr>
              <w:t>投标</w:t>
            </w:r>
            <w:r>
              <w:rPr>
                <w:rFonts w:ascii="仿宋_GB2312" w:hAnsi="仿宋_GB2312" w:cs="仿宋_GB2312" w:eastAsia="仿宋_GB2312"/>
                <w:sz w:val="18"/>
                <w:color w:val="0000FF"/>
              </w:rPr>
              <w:t>文件及承诺与本项目合同约定标准进行验收。</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五</w:t>
            </w:r>
            <w:r>
              <w:rPr>
                <w:rFonts w:ascii="仿宋_GB2312" w:hAnsi="仿宋_GB2312" w:cs="仿宋_GB2312" w:eastAsia="仿宋_GB2312"/>
                <w:sz w:val="18"/>
                <w:color w:val="0000FF"/>
              </w:rPr>
              <w:t>）售后服务</w:t>
            </w:r>
          </w:p>
          <w:p>
            <w:pPr>
              <w:pStyle w:val="null3"/>
              <w:ind w:firstLine="360"/>
            </w:pPr>
            <w:r>
              <w:rPr>
                <w:rFonts w:ascii="仿宋_GB2312" w:hAnsi="仿宋_GB2312" w:cs="仿宋_GB2312" w:eastAsia="仿宋_GB2312"/>
                <w:sz w:val="18"/>
                <w:color w:val="0000FF"/>
              </w:rPr>
              <w:t>1、质量保证期1年（自提交服务成果并验收合格之日起计）。</w:t>
            </w:r>
          </w:p>
          <w:p>
            <w:pPr>
              <w:pStyle w:val="null3"/>
              <w:ind w:firstLine="360"/>
            </w:pPr>
            <w:r>
              <w:rPr>
                <w:rFonts w:ascii="仿宋_GB2312" w:hAnsi="仿宋_GB2312" w:cs="仿宋_GB2312" w:eastAsia="仿宋_GB2312"/>
                <w:sz w:val="18"/>
                <w:color w:val="0000FF"/>
              </w:rPr>
              <w:t>2、在质量保证期内，提供具体服务方式包括：</w:t>
            </w:r>
          </w:p>
          <w:p>
            <w:pPr>
              <w:pStyle w:val="null3"/>
              <w:ind w:firstLine="360"/>
            </w:pPr>
            <w:r>
              <w:rPr>
                <w:rFonts w:ascii="仿宋_GB2312" w:hAnsi="仿宋_GB2312" w:cs="仿宋_GB2312" w:eastAsia="仿宋_GB2312"/>
                <w:sz w:val="18"/>
                <w:color w:val="0000FF"/>
              </w:rPr>
              <w:t>提供7*24本地化技术支持服务，现场受理</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提出陕西省自然资源业务应用场景能力构建项目的问题。</w:t>
            </w:r>
          </w:p>
          <w:p>
            <w:pPr>
              <w:pStyle w:val="null3"/>
              <w:ind w:firstLine="360"/>
            </w:pPr>
            <w:r>
              <w:rPr>
                <w:rFonts w:ascii="仿宋_GB2312" w:hAnsi="仿宋_GB2312" w:cs="仿宋_GB2312" w:eastAsia="仿宋_GB2312"/>
                <w:sz w:val="18"/>
                <w:color w:val="0000FF"/>
              </w:rPr>
              <w:t>提供7*24客服热线电话服务，提供电话、QQ指导、网络远程协助等即时通讯工具对</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系统操作问题进行解答。</w:t>
            </w:r>
          </w:p>
          <w:p>
            <w:pPr>
              <w:pStyle w:val="null3"/>
              <w:ind w:firstLine="360"/>
            </w:pPr>
            <w:r>
              <w:rPr>
                <w:rFonts w:ascii="仿宋_GB2312" w:hAnsi="仿宋_GB2312" w:cs="仿宋_GB2312" w:eastAsia="仿宋_GB2312"/>
                <w:sz w:val="18"/>
                <w:color w:val="0000FF"/>
              </w:rPr>
              <w:t>为全省用户提供7*24小时电话远程技术支持服务。</w:t>
            </w:r>
          </w:p>
          <w:p>
            <w:pPr>
              <w:pStyle w:val="null3"/>
              <w:ind w:firstLine="360"/>
            </w:pPr>
            <w:r>
              <w:rPr>
                <w:rFonts w:ascii="仿宋_GB2312" w:hAnsi="仿宋_GB2312" w:cs="仿宋_GB2312" w:eastAsia="仿宋_GB2312"/>
                <w:sz w:val="18"/>
                <w:color w:val="0000FF"/>
              </w:rPr>
              <w:t>提供系统软件操作方面的全省集中培训服务，并提供相关培训文档或视频、技术资料等电子材料。</w:t>
            </w:r>
          </w:p>
          <w:p>
            <w:pPr>
              <w:pStyle w:val="null3"/>
              <w:ind w:firstLine="360"/>
            </w:pPr>
            <w:r>
              <w:rPr>
                <w:rFonts w:ascii="仿宋_GB2312" w:hAnsi="仿宋_GB2312" w:cs="仿宋_GB2312" w:eastAsia="仿宋_GB2312"/>
                <w:sz w:val="18"/>
                <w:color w:val="0000FF"/>
              </w:rPr>
              <w:t>3、故障响应时间：质保期内，投标人需在2小时内及时响应采购人的技术支持需求。具体响应服务方式包括：电话咨询、远程维护、用户培训和现场服务。</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六</w:t>
            </w:r>
            <w:r>
              <w:rPr>
                <w:rFonts w:ascii="仿宋_GB2312" w:hAnsi="仿宋_GB2312" w:cs="仿宋_GB2312" w:eastAsia="仿宋_GB2312"/>
                <w:sz w:val="18"/>
                <w:color w:val="0000FF"/>
              </w:rPr>
              <w:t>）培训要求</w:t>
            </w:r>
          </w:p>
          <w:p>
            <w:pPr>
              <w:pStyle w:val="null3"/>
              <w:ind w:firstLine="360"/>
            </w:pPr>
            <w:r>
              <w:rPr>
                <w:rFonts w:ascii="仿宋_GB2312" w:hAnsi="仿宋_GB2312" w:cs="仿宋_GB2312" w:eastAsia="仿宋_GB2312"/>
                <w:sz w:val="18"/>
                <w:color w:val="0000FF"/>
              </w:rPr>
              <w:t>负责</w:t>
            </w:r>
            <w:r>
              <w:rPr>
                <w:rFonts w:ascii="仿宋_GB2312" w:hAnsi="仿宋_GB2312" w:cs="仿宋_GB2312" w:eastAsia="仿宋_GB2312"/>
                <w:sz w:val="18"/>
                <w:color w:val="0000FF"/>
              </w:rPr>
              <w:t>提供系统演示、讲解培训服务（不含场地费用及其他会务支出）及</w:t>
            </w:r>
            <w:r>
              <w:rPr>
                <w:rFonts w:ascii="仿宋_GB2312" w:hAnsi="仿宋_GB2312" w:cs="仿宋_GB2312" w:eastAsia="仿宋_GB2312"/>
                <w:sz w:val="18"/>
                <w:color w:val="0000FF"/>
              </w:rPr>
              <w:t>制定</w:t>
            </w:r>
            <w:r>
              <w:rPr>
                <w:rFonts w:ascii="仿宋_GB2312" w:hAnsi="仿宋_GB2312" w:cs="仿宋_GB2312" w:eastAsia="仿宋_GB2312"/>
                <w:sz w:val="18"/>
                <w:color w:val="0000FF"/>
              </w:rPr>
              <w:t>相应的培训计划。</w:t>
            </w:r>
          </w:p>
          <w:p>
            <w:pPr>
              <w:pStyle w:val="null3"/>
              <w:ind w:firstLine="360"/>
            </w:pPr>
            <w:r>
              <w:rPr>
                <w:rFonts w:ascii="仿宋_GB2312" w:hAnsi="仿宋_GB2312" w:cs="仿宋_GB2312" w:eastAsia="仿宋_GB2312"/>
                <w:sz w:val="18"/>
                <w:color w:val="0000FF"/>
              </w:rPr>
              <w:t>1、通过培训服务，预期达到以下效果：</w:t>
            </w:r>
          </w:p>
          <w:p>
            <w:pPr>
              <w:pStyle w:val="null3"/>
              <w:ind w:firstLine="360"/>
            </w:pPr>
            <w:r>
              <w:rPr>
                <w:rFonts w:ascii="仿宋_GB2312" w:hAnsi="仿宋_GB2312" w:cs="仿宋_GB2312" w:eastAsia="仿宋_GB2312"/>
                <w:sz w:val="18"/>
                <w:color w:val="0000FF"/>
              </w:rPr>
              <w:t>系统操作员：如业务管理员、软件实施维护人员等，可熟练应用本系统进行业务管理和操作；</w:t>
            </w:r>
          </w:p>
          <w:p>
            <w:pPr>
              <w:pStyle w:val="null3"/>
              <w:ind w:firstLine="360"/>
            </w:pPr>
            <w:r>
              <w:rPr>
                <w:rFonts w:ascii="仿宋_GB2312" w:hAnsi="仿宋_GB2312" w:cs="仿宋_GB2312" w:eastAsia="仿宋_GB2312"/>
                <w:sz w:val="18"/>
                <w:color w:val="0000FF"/>
              </w:rPr>
              <w:t>系统管理员：如系统管理员，能独立完成系统的使用与维护工作，掌握系统运行情况并及时排除大部分系统故障。</w:t>
            </w:r>
          </w:p>
          <w:p>
            <w:pPr>
              <w:pStyle w:val="null3"/>
              <w:ind w:firstLine="360"/>
            </w:pPr>
            <w:r>
              <w:rPr>
                <w:rFonts w:ascii="仿宋_GB2312" w:hAnsi="仿宋_GB2312" w:cs="仿宋_GB2312" w:eastAsia="仿宋_GB2312"/>
                <w:sz w:val="18"/>
                <w:color w:val="0000FF"/>
              </w:rPr>
              <w:t>2、针对培训内容采取以下方式：</w:t>
            </w:r>
          </w:p>
          <w:p>
            <w:pPr>
              <w:pStyle w:val="null3"/>
              <w:ind w:firstLine="360"/>
            </w:pPr>
            <w:r>
              <w:rPr>
                <w:rFonts w:ascii="仿宋_GB2312" w:hAnsi="仿宋_GB2312" w:cs="仿宋_GB2312" w:eastAsia="仿宋_GB2312"/>
                <w:sz w:val="18"/>
                <w:color w:val="0000FF"/>
              </w:rPr>
              <w:t>书面讲解</w:t>
            </w:r>
          </w:p>
          <w:p>
            <w:pPr>
              <w:pStyle w:val="null3"/>
              <w:ind w:firstLine="360"/>
            </w:pPr>
            <w:r>
              <w:rPr>
                <w:rFonts w:ascii="仿宋_GB2312" w:hAnsi="仿宋_GB2312" w:cs="仿宋_GB2312" w:eastAsia="仿宋_GB2312"/>
                <w:sz w:val="18"/>
                <w:color w:val="0000FF"/>
              </w:rPr>
              <w:t>根据项目要求提供的培训教材，由驻场技术支持人员向指定的培训人员讲授整个系统的组成、工作原理和主要功能。</w:t>
            </w:r>
          </w:p>
          <w:p>
            <w:pPr>
              <w:pStyle w:val="null3"/>
              <w:ind w:firstLine="360"/>
            </w:pPr>
            <w:r>
              <w:rPr>
                <w:rFonts w:ascii="仿宋_GB2312" w:hAnsi="仿宋_GB2312" w:cs="仿宋_GB2312" w:eastAsia="仿宋_GB2312"/>
                <w:sz w:val="18"/>
                <w:color w:val="0000FF"/>
              </w:rPr>
              <w:t>实际操作</w:t>
            </w:r>
          </w:p>
          <w:p>
            <w:pPr>
              <w:pStyle w:val="null3"/>
              <w:ind w:firstLine="360"/>
            </w:pPr>
            <w:r>
              <w:rPr>
                <w:rFonts w:ascii="仿宋_GB2312" w:hAnsi="仿宋_GB2312" w:cs="仿宋_GB2312" w:eastAsia="仿宋_GB2312"/>
                <w:sz w:val="18"/>
                <w:color w:val="0000FF"/>
              </w:rPr>
              <w:t>学习系统基本构成后，在驻场技术支持人员的讲解和指导下，带领培训人员进行实际操作。</w:t>
            </w:r>
          </w:p>
          <w:p>
            <w:pPr>
              <w:pStyle w:val="null3"/>
              <w:ind w:firstLine="360"/>
            </w:pPr>
            <w:r>
              <w:rPr>
                <w:rFonts w:ascii="仿宋_GB2312" w:hAnsi="仿宋_GB2312" w:cs="仿宋_GB2312" w:eastAsia="仿宋_GB2312"/>
                <w:sz w:val="18"/>
                <w:color w:val="0000FF"/>
              </w:rPr>
              <w:t>3、培训地点：培训地点由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指定，采取集中培训的形式，具体组织及场地提供由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负责。（培训以远程线上培训为主）</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七</w:t>
            </w:r>
            <w:r>
              <w:rPr>
                <w:rFonts w:ascii="仿宋_GB2312" w:hAnsi="仿宋_GB2312" w:cs="仿宋_GB2312" w:eastAsia="仿宋_GB2312"/>
                <w:sz w:val="18"/>
                <w:color w:val="0000FF"/>
              </w:rPr>
              <w:t>）人员要求</w:t>
            </w:r>
          </w:p>
          <w:p>
            <w:pPr>
              <w:pStyle w:val="null3"/>
              <w:ind w:firstLine="360"/>
            </w:pPr>
            <w:r>
              <w:rPr>
                <w:rFonts w:ascii="仿宋_GB2312" w:hAnsi="仿宋_GB2312" w:cs="仿宋_GB2312" w:eastAsia="仿宋_GB2312"/>
                <w:sz w:val="18"/>
                <w:color w:val="0000FF"/>
              </w:rPr>
              <w:t>1、选派得力的研究和服务人员，采取有效的管理组织形式，并在实施的过程中实行严密的控制，加强计划工作，抓紧阶段控制和中间决策等。在实施过程中核心人员在无特殊情况下不会进行随意调换。</w:t>
            </w:r>
          </w:p>
          <w:p>
            <w:pPr>
              <w:pStyle w:val="null3"/>
              <w:ind w:firstLine="360"/>
            </w:pPr>
            <w:r>
              <w:rPr>
                <w:rFonts w:ascii="仿宋_GB2312" w:hAnsi="仿宋_GB2312" w:cs="仿宋_GB2312" w:eastAsia="仿宋_GB2312"/>
                <w:sz w:val="18"/>
                <w:color w:val="0000FF"/>
              </w:rPr>
              <w:t>2、投标人须提供针对本项目的详细人员配备情况说明。要求拟派项目成员相关专业人员搭配合理、职能健全，岗位分工明确、职责清晰，包括人员配备情况及水平、人员安排、专业配置、从业经历、参与工作经验等方面，均应满足本项目采购需求。</w:t>
            </w:r>
          </w:p>
          <w:p>
            <w:pPr>
              <w:pStyle w:val="null3"/>
              <w:ind w:firstLine="360"/>
            </w:pPr>
            <w:r>
              <w:rPr>
                <w:rFonts w:ascii="仿宋_GB2312" w:hAnsi="仿宋_GB2312" w:cs="仿宋_GB2312" w:eastAsia="仿宋_GB2312"/>
                <w:sz w:val="18"/>
                <w:color w:val="0000FF"/>
              </w:rPr>
              <w:t>（</w:t>
            </w:r>
            <w:r>
              <w:rPr>
                <w:rFonts w:ascii="仿宋_GB2312" w:hAnsi="仿宋_GB2312" w:cs="仿宋_GB2312" w:eastAsia="仿宋_GB2312"/>
                <w:sz w:val="18"/>
                <w:color w:val="0000FF"/>
              </w:rPr>
              <w:t>八</w:t>
            </w:r>
            <w:r>
              <w:rPr>
                <w:rFonts w:ascii="仿宋_GB2312" w:hAnsi="仿宋_GB2312" w:cs="仿宋_GB2312" w:eastAsia="仿宋_GB2312"/>
                <w:sz w:val="18"/>
                <w:color w:val="0000FF"/>
              </w:rPr>
              <w:t>）其他要求</w:t>
            </w:r>
          </w:p>
          <w:p>
            <w:pPr>
              <w:pStyle w:val="null3"/>
              <w:ind w:firstLine="360"/>
            </w:pPr>
            <w:r>
              <w:rPr>
                <w:rFonts w:ascii="仿宋_GB2312" w:hAnsi="仿宋_GB2312" w:cs="仿宋_GB2312" w:eastAsia="仿宋_GB2312"/>
                <w:sz w:val="18"/>
                <w:color w:val="0000FF"/>
              </w:rPr>
              <w:t>1、投标人按采购人要求，按时完成工作内容。</w:t>
            </w:r>
          </w:p>
          <w:p>
            <w:pPr>
              <w:pStyle w:val="null3"/>
              <w:ind w:firstLine="360"/>
            </w:pPr>
            <w:r>
              <w:rPr>
                <w:rFonts w:ascii="仿宋_GB2312" w:hAnsi="仿宋_GB2312" w:cs="仿宋_GB2312" w:eastAsia="仿宋_GB2312"/>
                <w:sz w:val="18"/>
                <w:color w:val="0000FF"/>
              </w:rPr>
              <w:t>2、投标人在项目实施过程中，必须严格遵守采购人的相关管理制度，并按照要求签订保密协议，不得有泄密、人为损坏采购人设备及工作成果、不遵守工作纪律等不法行为，由此造成的一切后果及法律责任由投标人承担。</w:t>
            </w:r>
          </w:p>
          <w:p>
            <w:pPr>
              <w:pStyle w:val="null3"/>
              <w:ind w:firstLine="360"/>
            </w:pPr>
            <w:r>
              <w:rPr>
                <w:rFonts w:ascii="仿宋_GB2312" w:hAnsi="仿宋_GB2312" w:cs="仿宋_GB2312" w:eastAsia="仿宋_GB2312"/>
                <w:sz w:val="18"/>
                <w:color w:val="0000FF"/>
              </w:rPr>
              <w:t>3、本项目在项目实施周期内开展技术支持的过程中，发生的人工成本（包括培训费用、设备费用以及相关差旅费用)由投标人承担。</w:t>
            </w:r>
          </w:p>
          <w:p>
            <w:pPr>
              <w:pStyle w:val="null3"/>
              <w:ind w:firstLine="360"/>
            </w:pPr>
            <w:r>
              <w:rPr>
                <w:rFonts w:ascii="仿宋_GB2312" w:hAnsi="仿宋_GB2312" w:cs="仿宋_GB2312" w:eastAsia="仿宋_GB2312"/>
                <w:sz w:val="18"/>
                <w:color w:val="0000FF"/>
              </w:rPr>
              <w:t>4、本项目自投标人中标之日起至成果提交验收合格日止，投标人将负责项目实施过程中的人身安全、财产安全、环境安全等一切安全责任。因项目实施过程中造成的直接或间接损失，均由投标人自行承担。</w:t>
            </w:r>
          </w:p>
          <w:p>
            <w:pPr>
              <w:pStyle w:val="null3"/>
              <w:ind w:firstLine="360"/>
            </w:pPr>
            <w:r>
              <w:rPr>
                <w:rFonts w:ascii="仿宋_GB2312" w:hAnsi="仿宋_GB2312" w:cs="仿宋_GB2312" w:eastAsia="仿宋_GB2312"/>
                <w:sz w:val="18"/>
                <w:color w:val="0000FF"/>
              </w:rPr>
              <w:t>5、本项目工作数据属于保密数据，投标人工作过程中必须严格按照国家保密工作规程操作，以保障对整个工作成果及接触到的相关工作资料进行保密。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自合同签订之日起6个月内，投标人完成全部系统建设内容并通过项目验收。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自合同签订之日起6个月内，投标人完成全部系统建设内容并通过项目验收。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陕西省自然资源信息中心（陕西省地质资料档案馆）指定地点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陕西省自然资源信息中心（陕西省地质资料档案馆）指定地点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1、系统试运行期为1月，试运行结束后，系统功能、性能指标达到招标文件要求时，投标人即可发起项目验收申请，采购人收到验收申请7个工作日内需按照约定组织完成验收。 2、采购人按国家有关规定以及招标文件的要求、投标人的投标文件及承诺与本项目合同约定标准进行验收。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1、系统试运行期为1月，试运行结束后，系统功能、性能指标达到招标文件要求时，投标人即可发起项目验收申请，采购人收到验收申请7个工作日内需按照约定组织完成验收。 2、采购人按国家有关规定以及招标文件的要求、投标人的投标文件及承诺与本项目合同约定标准进行验收。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完成合同约定全部内容，经采购人验收合格后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完成合同约定全部内容，经采购人验收合格后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（2）未按合同要求提供的服务，采购人会同采购代理机构有权终止合同和对成交投标人的违约行为进行追究。 （3）成交投标人不能按期完成工作任务，每超过提交日期一天支付合同价款的千分之一，返还于采购人，作为赔偿。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（2）未按合同要求提供的服务，采购人会同采购代理机构有权终止合同和对成交投标人的违约行为进行追究。 （3）成交投标人不能按期完成工作任务，每超过提交日期一天支付合同价款的千分之一，返还于采购人，作为赔偿。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2、本项目采取兼投不兼中原则：投标人可同时参与采购包1、采购包2，但只能中1个包，若该单位在采购包1中标，则该单位在后续采购包2评审中只参与打分，不得推荐为前三名。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文件有效期不足的或无有效期的；(4)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分项价格表.docx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不满足本招标文件中“服务期限、服务地点、采购资金的支付方式及约定”的实质性条款要求的；(3)投标文件有效期不足的或无有效期的；(4)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服务响应偏离表.docx 标的清单 投标人资格证明文件.docx 投标文件封面 商务部分偏离表.docx 监狱企业的证明文件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根据投标人对陕西省自然资源业务应用场景能力构建项目建设背景、建设目标、业务分析、相关政策是否准确、全面、详细等方面评审。 完全满足项目需求，无瑕疵：6分； 内容存在1处瑕疵：5分； 内容存在2处瑕疵：4分； 内容存在3处瑕疵：3分； 内容存在4处瑕疵：2分； 内容存在5处瑕疵：1分； 未提供内容或内容存在6处及以上瑕疵：0分。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系统架构设计</w:t>
            </w:r>
          </w:p>
        </w:tc>
        <w:tc>
          <w:tcPr>
            <w:tcW w:type="dxa" w:w="2492"/>
          </w:tcPr>
          <w:p>
            <w:pPr>
              <w:pStyle w:val="null3"/>
            </w:pPr>
            <w:r>
              <w:rPr>
                <w:rFonts w:ascii="仿宋_GB2312" w:hAnsi="仿宋_GB2312" w:cs="仿宋_GB2312" w:eastAsia="仿宋_GB2312"/>
              </w:rPr>
              <w:t>针对本项目采购需求及系统模块要求，提供准确、合理、可行性强的系统架构设计方案。 完全满足项目需求，无瑕疵：6分； 内容存在1处瑕疵：5分； 内容存在2处瑕疵：4分； 内容存在3处瑕疵：3分； 内容存在4处瑕疵：2分； 内容存在5处瑕疵：1分； 未提供内容或内容存在6处及以上瑕疵：0分。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2系统架构设计.docx</w:t>
            </w:r>
          </w:p>
        </w:tc>
      </w:tr>
      <w:tr>
        <w:tc>
          <w:tcPr>
            <w:tcW w:type="dxa" w:w="831"/>
            <w:vMerge/>
          </w:tcPr>
          <w:p/>
        </w:tc>
        <w:tc>
          <w:tcPr>
            <w:tcW w:type="dxa" w:w="1661"/>
          </w:tcPr>
          <w:p>
            <w:pPr>
              <w:pStyle w:val="null3"/>
            </w:pPr>
            <w:r>
              <w:rPr>
                <w:rFonts w:ascii="仿宋_GB2312" w:hAnsi="仿宋_GB2312" w:cs="仿宋_GB2312" w:eastAsia="仿宋_GB2312"/>
              </w:rPr>
              <w:t>系统建设及重点难点分析</w:t>
            </w:r>
          </w:p>
        </w:tc>
        <w:tc>
          <w:tcPr>
            <w:tcW w:type="dxa" w:w="2492"/>
          </w:tcPr>
          <w:p>
            <w:pPr>
              <w:pStyle w:val="null3"/>
            </w:pPr>
            <w:r>
              <w:rPr>
                <w:rFonts w:ascii="仿宋_GB2312" w:hAnsi="仿宋_GB2312" w:cs="仿宋_GB2312" w:eastAsia="仿宋_GB2312"/>
              </w:rPr>
              <w:t>投标人针对陕西省自然资源业务应用场景能力构建项目中国土空间用途管制业务、矿业权登记业务、土地利用业务、土地征收成片开发业务、完善基础支撑等5大部分提供系统建设方案，并对建设过程中关键性技术进行具体、有针对性的分析。 完全满足项目需求，无瑕疵：25分； 内容存在1处瑕疵：22分； 内容存在2处瑕疵：18分； 内容存在3处瑕疵：14分； 内容存在4处瑕疵：10分； 内容存在5处瑕疵：7分； 内容存在6处瑕疵：4分； 内容存在7处瑕疵：1分； 未提供内容或内容存在8处及以上瑕疵：0分。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3系统建设及重点难点分析.docx</w:t>
            </w:r>
          </w:p>
        </w:tc>
      </w:tr>
      <w:tr>
        <w:tc>
          <w:tcPr>
            <w:tcW w:type="dxa" w:w="831"/>
            <w:vMerge/>
          </w:tcPr>
          <w:p/>
        </w:tc>
        <w:tc>
          <w:tcPr>
            <w:tcW w:type="dxa" w:w="1661"/>
          </w:tcPr>
          <w:p>
            <w:pPr>
              <w:pStyle w:val="null3"/>
            </w:pPr>
            <w:r>
              <w:rPr>
                <w:rFonts w:ascii="仿宋_GB2312" w:hAnsi="仿宋_GB2312" w:cs="仿宋_GB2312" w:eastAsia="仿宋_GB2312"/>
              </w:rPr>
              <w:t>质量控制及进度保障</w:t>
            </w:r>
          </w:p>
        </w:tc>
        <w:tc>
          <w:tcPr>
            <w:tcW w:type="dxa" w:w="2492"/>
          </w:tcPr>
          <w:p>
            <w:pPr>
              <w:pStyle w:val="null3"/>
            </w:pPr>
            <w:r>
              <w:rPr>
                <w:rFonts w:ascii="仿宋_GB2312" w:hAnsi="仿宋_GB2312" w:cs="仿宋_GB2312" w:eastAsia="仿宋_GB2312"/>
              </w:rPr>
              <w:t>提供具有针对性的服务保障方案，包含但不限于进度管理、质量管理体系及制度、实施过程及项目管理。 完全满足项目需求，无瑕疵：5分； 内容存在1处瑕疵：4分； 内容存在2处瑕疵：3分； 内容存在3处瑕疵：2分； 内容存在4处瑕疵：1分； 未提供内容或内容存在5处及以上瑕疵：0分。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4质量控制及进度保障.docx</w:t>
            </w:r>
          </w:p>
        </w:tc>
      </w:tr>
      <w:tr>
        <w:tc>
          <w:tcPr>
            <w:tcW w:type="dxa" w:w="831"/>
            <w:vMerge/>
          </w:tcPr>
          <w:p/>
        </w:tc>
        <w:tc>
          <w:tcPr>
            <w:tcW w:type="dxa" w:w="1661"/>
          </w:tcPr>
          <w:p>
            <w:pPr>
              <w:pStyle w:val="null3"/>
            </w:pPr>
            <w:r>
              <w:rPr>
                <w:rFonts w:ascii="仿宋_GB2312" w:hAnsi="仿宋_GB2312" w:cs="仿宋_GB2312" w:eastAsia="仿宋_GB2312"/>
              </w:rPr>
              <w:t>风险管理和应急预案</w:t>
            </w:r>
          </w:p>
        </w:tc>
        <w:tc>
          <w:tcPr>
            <w:tcW w:type="dxa" w:w="2492"/>
          </w:tcPr>
          <w:p>
            <w:pPr>
              <w:pStyle w:val="null3"/>
            </w:pPr>
            <w:r>
              <w:rPr>
                <w:rFonts w:ascii="仿宋_GB2312" w:hAnsi="仿宋_GB2312" w:cs="仿宋_GB2312" w:eastAsia="仿宋_GB2312"/>
              </w:rPr>
              <w:t>为防止项目实施中出现突发应急事件，投标人应在本次项目中提供风险管理和应急处置方案，以应对突发事件出现后可迅速解决，防止给采购人系统带来影响，提高采购人应对安全突发事件的处置能力。 完全满足项目需求，无瑕疵：3分； 内容存在1处瑕疵：2分； 内容存在2处瑕疵：1分； 未提供内容或内容存在3处及以上瑕疵：0分。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5风险管理和应急预案.docx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供应商根据采购需求，提供项目培训方案，包括但不限于培训组织架构、培训内容、培训方式、培训流程及日程安排。确保相关人员能够熟练掌握产品操作、排除一般故障。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6培训服务.docx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整、可行的7*24小时售后服务方案，包含但不限于系统运维服务、日常系统应用技术支持能力、系统故障后应急响应处置能力等，要求响应时间不超过2小时。售后服务：制定详细的项目售后计划、内容安排及相关技术人员队伍组成。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保密工作</w:t>
            </w:r>
          </w:p>
        </w:tc>
        <w:tc>
          <w:tcPr>
            <w:tcW w:type="dxa" w:w="2492"/>
          </w:tcPr>
          <w:p>
            <w:pPr>
              <w:pStyle w:val="null3"/>
            </w:pPr>
            <w:r>
              <w:rPr>
                <w:rFonts w:ascii="仿宋_GB2312" w:hAnsi="仿宋_GB2312" w:cs="仿宋_GB2312" w:eastAsia="仿宋_GB2312"/>
              </w:rPr>
              <w:t>供应商应针对信息安全有具体可行的保密工作方案，确保系统、数据安全，并提供承诺函及相应的管理制度级措施。 完全满足项目需求，无瑕疵：3分； 内容存在1处瑕疵：2分； 内容存在2处瑕疵：1分； 未提供内容或内容存在3处及以上瑕疵：0分。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8保密工作.docx</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投标人对项目提供的团队组织架构进行评分，包含但不限于组织结构、岗位管理、岗位职责、人员安排等内容。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9团队组织架构.docx</w:t>
            </w:r>
          </w:p>
        </w:tc>
      </w:tr>
      <w:tr>
        <w:tc>
          <w:tcPr>
            <w:tcW w:type="dxa" w:w="831"/>
            <w:vMerge/>
          </w:tcPr>
          <w:p/>
        </w:tc>
        <w:tc>
          <w:tcPr>
            <w:tcW w:type="dxa" w:w="1661"/>
          </w:tcPr>
          <w:p>
            <w:pPr>
              <w:pStyle w:val="null3"/>
            </w:pPr>
            <w:r>
              <w:rPr>
                <w:rFonts w:ascii="仿宋_GB2312" w:hAnsi="仿宋_GB2312" w:cs="仿宋_GB2312" w:eastAsia="仿宋_GB2312"/>
              </w:rPr>
              <w:t>驻场人员</w:t>
            </w:r>
          </w:p>
        </w:tc>
        <w:tc>
          <w:tcPr>
            <w:tcW w:type="dxa" w:w="2492"/>
          </w:tcPr>
          <w:p>
            <w:pPr>
              <w:pStyle w:val="null3"/>
            </w:pPr>
            <w:r>
              <w:rPr>
                <w:rFonts w:ascii="仿宋_GB2312" w:hAnsi="仿宋_GB2312" w:cs="仿宋_GB2312" w:eastAsia="仿宋_GB2312"/>
              </w:rPr>
              <w:t>具备驻场服务能力，提供不少于5人的固定人员驻场技术服务，少于5人不得分。需提供人员简历、学历证明、职称证书、项目经验等证明材料。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10驻场人员.docx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规划类或地理信息类专业中级及以上职称，其中高级及以上职称得2分，中级职称得1分。没有不得分。需提供项目负责人职称证书复印件并加盖公章，未提供或提供的证明材料不符合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11项目负责人.docx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技术负责人具备规划类、地理信息类或计算机信息类专业高级工程师得2分，具备规划类、地理信息类或计算机信息类专业中级工程师得1分。没有不得分。需提供职称证书复印件并加盖公章，未提供或提供的证明材料不符合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12技术负责人.docx</w:t>
            </w:r>
          </w:p>
        </w:tc>
      </w:tr>
      <w:tr>
        <w:tc>
          <w:tcPr>
            <w:tcW w:type="dxa" w:w="831"/>
            <w:vMerge/>
          </w:tcPr>
          <w:p/>
        </w:tc>
        <w:tc>
          <w:tcPr>
            <w:tcW w:type="dxa" w:w="1661"/>
          </w:tcPr>
          <w:p>
            <w:pPr>
              <w:pStyle w:val="null3"/>
            </w:pPr>
            <w:r>
              <w:rPr>
                <w:rFonts w:ascii="仿宋_GB2312" w:hAnsi="仿宋_GB2312" w:cs="仿宋_GB2312" w:eastAsia="仿宋_GB2312"/>
              </w:rPr>
              <w:t>项目团队资质</w:t>
            </w:r>
          </w:p>
        </w:tc>
        <w:tc>
          <w:tcPr>
            <w:tcW w:type="dxa" w:w="2492"/>
          </w:tcPr>
          <w:p>
            <w:pPr>
              <w:pStyle w:val="null3"/>
            </w:pPr>
            <w:r>
              <w:rPr>
                <w:rFonts w:ascii="仿宋_GB2312" w:hAnsi="仿宋_GB2312" w:cs="仿宋_GB2312" w:eastAsia="仿宋_GB2312"/>
              </w:rPr>
              <w:t>拟投入本项目的其他技术人员（除项目、技术负责人）具备地理信息类或规划类专业中级及以上职称，每提供1名高级及以上职称的技术人员得1分，每提供1名中级职称技术人员得0.5分，最高得6分。需提供职称证书复印件并加盖公章，未提供或提供的证明材料不符合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13项目团队资质.docx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投标人具有在有效期内的质量管理体系认证、环境管理体系认证、职业健康安全体系认证证书的，认证范围需和软件开发相关，提供1个得1分，满分3分。未提供不得分。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投标人具有与工作流平台、数据管理系统、用途管制系统等功能相关的软件著作权证书的，每提供一个得1分，满分得3分。未提供不得分。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15履约能力2.docx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提供投标人2022年4月1日至今同类项目合同（以合同签订日期为准），每提供1个得2分，满分10分。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根据投标人对陕西省自然资源业务应用场景能力构建项目建设原则、建设目标、业务分析、相关政策、数据情况的理解是否准确、全面、详细等方面评审。 完全满足项目需求，无瑕疵：5分； 内容存在1处瑕疵：4分； 内容存在2处瑕疵：3分； 内容存在3处瑕疵：2分； 内容存在4处瑕疵：1分； 未提供内容或内容存在5处及以上瑕疵：0分。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工作流程及实施方案</w:t>
            </w:r>
          </w:p>
        </w:tc>
        <w:tc>
          <w:tcPr>
            <w:tcW w:type="dxa" w:w="2492"/>
          </w:tcPr>
          <w:p>
            <w:pPr>
              <w:pStyle w:val="null3"/>
            </w:pPr>
            <w:r>
              <w:rPr>
                <w:rFonts w:ascii="仿宋_GB2312" w:hAnsi="仿宋_GB2312" w:cs="仿宋_GB2312" w:eastAsia="仿宋_GB2312"/>
              </w:rPr>
              <w:t>投标人结合本项目采购需求，提供完整的项目工作流程和实施方案，包括但不限于①系统技术路线设计方案、②系统开发架构设计方案、③系统功能设计方案；④系统指标设计（性能指标、安全指标等）方案，确保符合系统平台应用要求。 完全满足项目需求，无瑕疵：15分； 内容存在1处瑕疵：13分； 内容存在2处瑕疵：11分； 内容存在3处瑕疵：9分； 内容存在4处瑕疵：7分； 内容存在5处瑕疵：5分； 内容存在6处瑕疵：3分； 内容存在7处瑕疵：1分； 未提供内容或内容存在8处及以上瑕疵：0分。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2工作流程及实施方案.docx</w:t>
            </w:r>
          </w:p>
        </w:tc>
      </w:tr>
      <w:tr>
        <w:tc>
          <w:tcPr>
            <w:tcW w:type="dxa" w:w="831"/>
            <w:vMerge/>
          </w:tcPr>
          <w:p/>
        </w:tc>
        <w:tc>
          <w:tcPr>
            <w:tcW w:type="dxa" w:w="1661"/>
          </w:tcPr>
          <w:p>
            <w:pPr>
              <w:pStyle w:val="null3"/>
            </w:pPr>
            <w:r>
              <w:rPr>
                <w:rFonts w:ascii="仿宋_GB2312" w:hAnsi="仿宋_GB2312" w:cs="仿宋_GB2312" w:eastAsia="仿宋_GB2312"/>
              </w:rPr>
              <w:t>质量控制及进度保障</w:t>
            </w:r>
          </w:p>
        </w:tc>
        <w:tc>
          <w:tcPr>
            <w:tcW w:type="dxa" w:w="2492"/>
          </w:tcPr>
          <w:p>
            <w:pPr>
              <w:pStyle w:val="null3"/>
            </w:pPr>
            <w:r>
              <w:rPr>
                <w:rFonts w:ascii="仿宋_GB2312" w:hAnsi="仿宋_GB2312" w:cs="仿宋_GB2312" w:eastAsia="仿宋_GB2312"/>
              </w:rPr>
              <w:t>提供具有针对性的服务保障方案，包含但不限于进度管理、质量管理体系及制度、实施过程及项目管理。完全满足项目需求，无瑕疵：10分； 内容存在1处瑕疵：9分； 内容存在2处瑕疵：8分； 内容存在3处瑕疵：7分； 内容存在4处瑕疵：6分； 内容存在5处瑕疵：5分； 内容存在6处瑕疵：4分； 内容存在7处瑕疵：3分； 内容存在8处瑕疵：2分； 内容存在9处瑕疵：1分； 未提供内容或内容存在10处及以上瑕疵：0分。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3质量控制及进度保障.docx</w:t>
            </w:r>
          </w:p>
        </w:tc>
      </w:tr>
      <w:tr>
        <w:tc>
          <w:tcPr>
            <w:tcW w:type="dxa" w:w="831"/>
            <w:vMerge/>
          </w:tcPr>
          <w:p/>
        </w:tc>
        <w:tc>
          <w:tcPr>
            <w:tcW w:type="dxa" w:w="1661"/>
          </w:tcPr>
          <w:p>
            <w:pPr>
              <w:pStyle w:val="null3"/>
            </w:pPr>
            <w:r>
              <w:rPr>
                <w:rFonts w:ascii="仿宋_GB2312" w:hAnsi="仿宋_GB2312" w:cs="仿宋_GB2312" w:eastAsia="仿宋_GB2312"/>
              </w:rPr>
              <w:t>风险管理和应急预案</w:t>
            </w:r>
          </w:p>
        </w:tc>
        <w:tc>
          <w:tcPr>
            <w:tcW w:type="dxa" w:w="2492"/>
          </w:tcPr>
          <w:p>
            <w:pPr>
              <w:pStyle w:val="null3"/>
            </w:pPr>
            <w:r>
              <w:rPr>
                <w:rFonts w:ascii="仿宋_GB2312" w:hAnsi="仿宋_GB2312" w:cs="仿宋_GB2312" w:eastAsia="仿宋_GB2312"/>
              </w:rPr>
              <w:t>为防止项目实施中出现突发应急事件，投标人应在本次项目中提供风险管理和应急处置方案，以应对突发事件出现后可迅速解决，防止给采购人系统带来影响，提高采购人应对安全突发事件的处置能力。 完全满足项目需求，无瑕疵：5分； 内容存在1处瑕疵：4分； 内容存在2处瑕疵：3分； 内容存在3处瑕疵：2分； 内容存在4处瑕疵：1分； 未提供内容或内容存在5处及以上瑕疵：0分。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4风险管理和应急预案.docx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供应商根据采购需求，提供项目培训方案，包括但不限于培训组织架构、培训内容、培训方式、培训流程及日程安排。确保相关人员能够熟练掌握产品操作、排除一般故障。 完全满足项目需求，无瑕疵：5分； 内容存在1处瑕疵：4分； 内容存在2处瑕疵：3分； 内容存在3处瑕疵：2分； 内容存在4处瑕疵：1分； 未提供内容或内容存在5处及以上瑕疵：0分。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5培训服务.docx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整、可行的7*24小时售后服务方案，包含但不限于系统运维服务、日常系统应用技术支持能力、系统故障后应急响应处置能力等，要求响应时间不超过2小时。售后服务：制定详细的项目售后计划、内容安排及相关技术人员队伍组成。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6售后服务方案.docx</w:t>
            </w:r>
          </w:p>
        </w:tc>
      </w:tr>
      <w:tr>
        <w:tc>
          <w:tcPr>
            <w:tcW w:type="dxa" w:w="831"/>
            <w:vMerge/>
          </w:tcPr>
          <w:p/>
        </w:tc>
        <w:tc>
          <w:tcPr>
            <w:tcW w:type="dxa" w:w="1661"/>
          </w:tcPr>
          <w:p>
            <w:pPr>
              <w:pStyle w:val="null3"/>
            </w:pPr>
            <w:r>
              <w:rPr>
                <w:rFonts w:ascii="仿宋_GB2312" w:hAnsi="仿宋_GB2312" w:cs="仿宋_GB2312" w:eastAsia="仿宋_GB2312"/>
              </w:rPr>
              <w:t>保密工作</w:t>
            </w:r>
          </w:p>
        </w:tc>
        <w:tc>
          <w:tcPr>
            <w:tcW w:type="dxa" w:w="2492"/>
          </w:tcPr>
          <w:p>
            <w:pPr>
              <w:pStyle w:val="null3"/>
            </w:pPr>
            <w:r>
              <w:rPr>
                <w:rFonts w:ascii="仿宋_GB2312" w:hAnsi="仿宋_GB2312" w:cs="仿宋_GB2312" w:eastAsia="仿宋_GB2312"/>
              </w:rPr>
              <w:t>供应商应针对信息安全有具体可行的保密工作方案，确保系统、数据安全，并提供承诺函及相应的管理制度级措施。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7保密工作.docx</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投标人对项目提供的团队组织架构进行评分，包含但不限于组织结构、岗位管理、岗位职责、人员安排等内容。 完全满足项目需求，无瑕疵：4分； 内容存在1处瑕疵：3分； 内容存在2处瑕疵：2分； 内容存在3处瑕疵：1分； 未提供内容或内容存在4处及以上瑕疵：0分。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8团队组织架构.docx</w:t>
            </w:r>
          </w:p>
        </w:tc>
      </w:tr>
      <w:tr>
        <w:tc>
          <w:tcPr>
            <w:tcW w:type="dxa" w:w="831"/>
            <w:vMerge/>
          </w:tcPr>
          <w:p/>
        </w:tc>
        <w:tc>
          <w:tcPr>
            <w:tcW w:type="dxa" w:w="1661"/>
          </w:tcPr>
          <w:p>
            <w:pPr>
              <w:pStyle w:val="null3"/>
            </w:pPr>
            <w:r>
              <w:rPr>
                <w:rFonts w:ascii="仿宋_GB2312" w:hAnsi="仿宋_GB2312" w:cs="仿宋_GB2312" w:eastAsia="仿宋_GB2312"/>
              </w:rPr>
              <w:t>现场技术支持方案</w:t>
            </w:r>
          </w:p>
        </w:tc>
        <w:tc>
          <w:tcPr>
            <w:tcW w:type="dxa" w:w="2492"/>
          </w:tcPr>
          <w:p>
            <w:pPr>
              <w:pStyle w:val="null3"/>
            </w:pPr>
            <w:r>
              <w:rPr>
                <w:rFonts w:ascii="仿宋_GB2312" w:hAnsi="仿宋_GB2312" w:cs="仿宋_GB2312" w:eastAsia="仿宋_GB2312"/>
              </w:rPr>
              <w:t>针对项目需求，投标人提供的现场技术支持方案切实可行、完整，有响应处理机制。 完全满足项目需求，无瑕疵：3分； 内容存在1处瑕疵：2分； 内容存在2处瑕疵：1分； 未提供内容或内容存在3处及以上瑕疵：0分。 本评审办法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9现场技术支持方案.docx</w:t>
            </w:r>
          </w:p>
        </w:tc>
      </w:tr>
      <w:tr>
        <w:tc>
          <w:tcPr>
            <w:tcW w:type="dxa" w:w="831"/>
            <w:vMerge/>
          </w:tcPr>
          <w:p/>
        </w:tc>
        <w:tc>
          <w:tcPr>
            <w:tcW w:type="dxa" w:w="1661"/>
          </w:tcPr>
          <w:p>
            <w:pPr>
              <w:pStyle w:val="null3"/>
            </w:pPr>
            <w:r>
              <w:rPr>
                <w:rFonts w:ascii="仿宋_GB2312" w:hAnsi="仿宋_GB2312" w:cs="仿宋_GB2312" w:eastAsia="仿宋_GB2312"/>
              </w:rPr>
              <w:t>团队人员资质</w:t>
            </w:r>
          </w:p>
        </w:tc>
        <w:tc>
          <w:tcPr>
            <w:tcW w:type="dxa" w:w="2492"/>
          </w:tcPr>
          <w:p>
            <w:pPr>
              <w:pStyle w:val="null3"/>
            </w:pPr>
            <w:r>
              <w:rPr>
                <w:rFonts w:ascii="仿宋_GB2312" w:hAnsi="仿宋_GB2312" w:cs="仿宋_GB2312" w:eastAsia="仿宋_GB2312"/>
              </w:rPr>
              <w:t>1、投标人投入的项目负责人同时具有高级软件工程师、软件设计师证书及涉密测绘成果管理人员上岗证书的得3分；提供证书不全得1分，没有证书不计分。 2、投标人投入项目技术负责人同时具有高级软件工程师、软件设计师证书的得2分；提供证书不全得1分，没有证书不计分。 3、投标人拟派的项目数据负责人，具有高级及以上职称的得2分，中级职称得1分，没有证书不得分。 4、项目组其他成员配置（除项目负责人、技术负责人、数据负责人之外）投标人拟派项目成员具有土地或测绘类或软件类专业职称证书，每提供1个高级及以上职称证书得1分，每提供1个中级职称证书得0.5分，满分5分。 注：（1）以上人员不可重复计分；（2）提供相关人员证书复印件并加盖公章，未提供或提供的证明材料不符合要求的不得分。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10团队人员资质.docx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投标人具有有效的ISO/IEC27001信息安全管理体系认证证书，提供计2分，未提供不计分。（以上证书须提供复印件并加盖公章）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投标人提供2022年1月至今同类项目业绩合同，每提供1个得1分，满分10分，未提供不计分。 备注： 投标文件中提供完整业绩合同扫描件（完整业绩指连续页码的合同）或中标通知书复印件，并加盖投标人公章，如上述材料无法体现签订时间、服务内容等关键评审因素的，须另附业主单位（合同甲方）加盖公章的证明材料扫描件加以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软件著作权</w:t>
            </w:r>
          </w:p>
        </w:tc>
        <w:tc>
          <w:tcPr>
            <w:tcW w:type="dxa" w:w="2492"/>
          </w:tcPr>
          <w:p>
            <w:pPr>
              <w:pStyle w:val="null3"/>
            </w:pPr>
            <w:r>
              <w:rPr>
                <w:rFonts w:ascii="仿宋_GB2312" w:hAnsi="仿宋_GB2312" w:cs="仿宋_GB2312" w:eastAsia="仿宋_GB2312"/>
              </w:rPr>
              <w:t>投标人具有与国土调查云、数据综合管理国产化系统、地理信息大数据压缩处理等功能相关的软件著作权证书的，每提供一个得1分，满分得3分。 （以上证书均须提供复印件并加盖公章）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13软件著作权.docx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投标人须承诺在本项目测评过程中，获取的所有信息具有保密义务和责任，并有具体的保密措施和保密承诺书。提供保密承诺计2分，提供具体保密措施计2分，本项满分4分，未提供不计分。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14保密承诺.docx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投标人组织机构及服务质量保证措施、保密措施等能做到机构健全，建立完整的工作信息收集、反馈等客户质量保证措施。提供1条符合项目实际情况、且有利于项目实施的措施计1分，满分4分。未提供不计分。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15服务保证措施.docx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详见附件：2系统架构设计.docx</w:t>
      </w:r>
    </w:p>
    <w:p>
      <w:pPr>
        <w:pStyle w:val="null3"/>
        <w:ind w:firstLine="960"/>
      </w:pPr>
      <w:r>
        <w:rPr>
          <w:rFonts w:ascii="仿宋_GB2312" w:hAnsi="仿宋_GB2312" w:cs="仿宋_GB2312" w:eastAsia="仿宋_GB2312"/>
        </w:rPr>
        <w:t>详见附件：3系统建设及重点难点分析.docx</w:t>
      </w:r>
    </w:p>
    <w:p>
      <w:pPr>
        <w:pStyle w:val="null3"/>
        <w:ind w:firstLine="960"/>
      </w:pPr>
      <w:r>
        <w:rPr>
          <w:rFonts w:ascii="仿宋_GB2312" w:hAnsi="仿宋_GB2312" w:cs="仿宋_GB2312" w:eastAsia="仿宋_GB2312"/>
        </w:rPr>
        <w:t>详见附件：4质量控制及进度保障.docx</w:t>
      </w:r>
    </w:p>
    <w:p>
      <w:pPr>
        <w:pStyle w:val="null3"/>
        <w:ind w:firstLine="960"/>
      </w:pPr>
      <w:r>
        <w:rPr>
          <w:rFonts w:ascii="仿宋_GB2312" w:hAnsi="仿宋_GB2312" w:cs="仿宋_GB2312" w:eastAsia="仿宋_GB2312"/>
        </w:rPr>
        <w:t>详见附件：5风险管理和应急预案.docx</w:t>
      </w:r>
    </w:p>
    <w:p>
      <w:pPr>
        <w:pStyle w:val="null3"/>
        <w:ind w:firstLine="960"/>
      </w:pPr>
      <w:r>
        <w:rPr>
          <w:rFonts w:ascii="仿宋_GB2312" w:hAnsi="仿宋_GB2312" w:cs="仿宋_GB2312" w:eastAsia="仿宋_GB2312"/>
        </w:rPr>
        <w:t>详见附件：6培训服务.docx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详见附件：8保密工作.docx</w:t>
      </w:r>
    </w:p>
    <w:p>
      <w:pPr>
        <w:pStyle w:val="null3"/>
        <w:ind w:firstLine="960"/>
      </w:pPr>
      <w:r>
        <w:rPr>
          <w:rFonts w:ascii="仿宋_GB2312" w:hAnsi="仿宋_GB2312" w:cs="仿宋_GB2312" w:eastAsia="仿宋_GB2312"/>
        </w:rPr>
        <w:t>详见附件：9团队组织架构.docx</w:t>
      </w:r>
    </w:p>
    <w:p>
      <w:pPr>
        <w:pStyle w:val="null3"/>
        <w:ind w:firstLine="960"/>
      </w:pPr>
      <w:r>
        <w:rPr>
          <w:rFonts w:ascii="仿宋_GB2312" w:hAnsi="仿宋_GB2312" w:cs="仿宋_GB2312" w:eastAsia="仿宋_GB2312"/>
        </w:rPr>
        <w:t>详见附件：10驻场人员.docx</w:t>
      </w:r>
    </w:p>
    <w:p>
      <w:pPr>
        <w:pStyle w:val="null3"/>
        <w:ind w:firstLine="960"/>
      </w:pPr>
      <w:r>
        <w:rPr>
          <w:rFonts w:ascii="仿宋_GB2312" w:hAnsi="仿宋_GB2312" w:cs="仿宋_GB2312" w:eastAsia="仿宋_GB2312"/>
        </w:rPr>
        <w:t>详见附件：11项目负责人.docx</w:t>
      </w:r>
    </w:p>
    <w:p>
      <w:pPr>
        <w:pStyle w:val="null3"/>
        <w:ind w:firstLine="960"/>
      </w:pPr>
      <w:r>
        <w:rPr>
          <w:rFonts w:ascii="仿宋_GB2312" w:hAnsi="仿宋_GB2312" w:cs="仿宋_GB2312" w:eastAsia="仿宋_GB2312"/>
        </w:rPr>
        <w:t>详见附件：12技术负责人.docx</w:t>
      </w:r>
    </w:p>
    <w:p>
      <w:pPr>
        <w:pStyle w:val="null3"/>
        <w:ind w:firstLine="960"/>
      </w:pPr>
      <w:r>
        <w:rPr>
          <w:rFonts w:ascii="仿宋_GB2312" w:hAnsi="仿宋_GB2312" w:cs="仿宋_GB2312" w:eastAsia="仿宋_GB2312"/>
        </w:rPr>
        <w:t>详见附件：13项目团队资质.docx</w:t>
      </w:r>
    </w:p>
    <w:p>
      <w:pPr>
        <w:pStyle w:val="null3"/>
        <w:ind w:firstLine="960"/>
      </w:pPr>
      <w:r>
        <w:rPr>
          <w:rFonts w:ascii="仿宋_GB2312" w:hAnsi="仿宋_GB2312" w:cs="仿宋_GB2312" w:eastAsia="仿宋_GB2312"/>
        </w:rPr>
        <w:t>详见附件：14履约能力1.docx</w:t>
      </w:r>
    </w:p>
    <w:p>
      <w:pPr>
        <w:pStyle w:val="null3"/>
        <w:ind w:firstLine="960"/>
      </w:pPr>
      <w:r>
        <w:rPr>
          <w:rFonts w:ascii="仿宋_GB2312" w:hAnsi="仿宋_GB2312" w:cs="仿宋_GB2312" w:eastAsia="仿宋_GB2312"/>
        </w:rPr>
        <w:t>详见附件：15履约能力2.docx</w:t>
      </w:r>
    </w:p>
    <w:p>
      <w:pPr>
        <w:pStyle w:val="null3"/>
        <w:ind w:firstLine="960"/>
      </w:pPr>
      <w:r>
        <w:rPr>
          <w:rFonts w:ascii="仿宋_GB2312" w:hAnsi="仿宋_GB2312" w:cs="仿宋_GB2312" w:eastAsia="仿宋_GB2312"/>
        </w:rPr>
        <w:t>详见附件：16业绩.docx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详见附件：2工作流程及实施方案.docx</w:t>
      </w:r>
    </w:p>
    <w:p>
      <w:pPr>
        <w:pStyle w:val="null3"/>
        <w:ind w:firstLine="960"/>
      </w:pPr>
      <w:r>
        <w:rPr>
          <w:rFonts w:ascii="仿宋_GB2312" w:hAnsi="仿宋_GB2312" w:cs="仿宋_GB2312" w:eastAsia="仿宋_GB2312"/>
        </w:rPr>
        <w:t>详见附件：3质量控制及进度保障.docx</w:t>
      </w:r>
    </w:p>
    <w:p>
      <w:pPr>
        <w:pStyle w:val="null3"/>
        <w:ind w:firstLine="960"/>
      </w:pPr>
      <w:r>
        <w:rPr>
          <w:rFonts w:ascii="仿宋_GB2312" w:hAnsi="仿宋_GB2312" w:cs="仿宋_GB2312" w:eastAsia="仿宋_GB2312"/>
        </w:rPr>
        <w:t>详见附件：4风险管理和应急预案.docx</w:t>
      </w:r>
    </w:p>
    <w:p>
      <w:pPr>
        <w:pStyle w:val="null3"/>
        <w:ind w:firstLine="960"/>
      </w:pPr>
      <w:r>
        <w:rPr>
          <w:rFonts w:ascii="仿宋_GB2312" w:hAnsi="仿宋_GB2312" w:cs="仿宋_GB2312" w:eastAsia="仿宋_GB2312"/>
        </w:rPr>
        <w:t>详见附件：5培训服务.docx</w:t>
      </w:r>
    </w:p>
    <w:p>
      <w:pPr>
        <w:pStyle w:val="null3"/>
        <w:ind w:firstLine="960"/>
      </w:pPr>
      <w:r>
        <w:rPr>
          <w:rFonts w:ascii="仿宋_GB2312" w:hAnsi="仿宋_GB2312" w:cs="仿宋_GB2312" w:eastAsia="仿宋_GB2312"/>
        </w:rPr>
        <w:t>详见附件：6售后服务方案.docx</w:t>
      </w:r>
    </w:p>
    <w:p>
      <w:pPr>
        <w:pStyle w:val="null3"/>
        <w:ind w:firstLine="960"/>
      </w:pPr>
      <w:r>
        <w:rPr>
          <w:rFonts w:ascii="仿宋_GB2312" w:hAnsi="仿宋_GB2312" w:cs="仿宋_GB2312" w:eastAsia="仿宋_GB2312"/>
        </w:rPr>
        <w:t>详见附件：7保密工作.docx</w:t>
      </w:r>
    </w:p>
    <w:p>
      <w:pPr>
        <w:pStyle w:val="null3"/>
        <w:ind w:firstLine="960"/>
      </w:pPr>
      <w:r>
        <w:rPr>
          <w:rFonts w:ascii="仿宋_GB2312" w:hAnsi="仿宋_GB2312" w:cs="仿宋_GB2312" w:eastAsia="仿宋_GB2312"/>
        </w:rPr>
        <w:t>详见附件：8团队组织架构.docx</w:t>
      </w:r>
    </w:p>
    <w:p>
      <w:pPr>
        <w:pStyle w:val="null3"/>
        <w:ind w:firstLine="960"/>
      </w:pPr>
      <w:r>
        <w:rPr>
          <w:rFonts w:ascii="仿宋_GB2312" w:hAnsi="仿宋_GB2312" w:cs="仿宋_GB2312" w:eastAsia="仿宋_GB2312"/>
        </w:rPr>
        <w:t>详见附件：9现场技术支持方案.docx</w:t>
      </w:r>
    </w:p>
    <w:p>
      <w:pPr>
        <w:pStyle w:val="null3"/>
        <w:ind w:firstLine="960"/>
      </w:pPr>
      <w:r>
        <w:rPr>
          <w:rFonts w:ascii="仿宋_GB2312" w:hAnsi="仿宋_GB2312" w:cs="仿宋_GB2312" w:eastAsia="仿宋_GB2312"/>
        </w:rPr>
        <w:t>详见附件：10团队人员资质.docx</w:t>
      </w:r>
    </w:p>
    <w:p>
      <w:pPr>
        <w:pStyle w:val="null3"/>
        <w:ind w:firstLine="960"/>
      </w:pPr>
      <w:r>
        <w:rPr>
          <w:rFonts w:ascii="仿宋_GB2312" w:hAnsi="仿宋_GB2312" w:cs="仿宋_GB2312" w:eastAsia="仿宋_GB2312"/>
        </w:rPr>
        <w:t>详见附件：11履约能力.docx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详见附件：13软件著作权.docx</w:t>
      </w:r>
    </w:p>
    <w:p>
      <w:pPr>
        <w:pStyle w:val="null3"/>
        <w:ind w:firstLine="960"/>
      </w:pPr>
      <w:r>
        <w:rPr>
          <w:rFonts w:ascii="仿宋_GB2312" w:hAnsi="仿宋_GB2312" w:cs="仿宋_GB2312" w:eastAsia="仿宋_GB2312"/>
        </w:rPr>
        <w:t>详见附件：14保密承诺.docx</w:t>
      </w:r>
    </w:p>
    <w:p>
      <w:pPr>
        <w:pStyle w:val="null3"/>
        <w:ind w:firstLine="960"/>
      </w:pPr>
      <w:r>
        <w:rPr>
          <w:rFonts w:ascii="仿宋_GB2312" w:hAnsi="仿宋_GB2312" w:cs="仿宋_GB2312" w:eastAsia="仿宋_GB2312"/>
        </w:rPr>
        <w:t>详见附件：15服务保证措施.docx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