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版本号：SCZA2025-CS-0894-00120250422001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第九届丝博会综合服务项目公共布展</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SCZA2025-CS-0894-001</w:t>
      </w:r>
      <w:r>
        <w:br/>
      </w:r>
      <w:r>
        <w:br/>
      </w:r>
      <w:r>
        <w:br/>
      </w:r>
    </w:p>
    <w:p>
      <w:pPr>
        <w:pStyle w:val="null3"/>
        <w:jc w:val="center"/>
        <w:outlineLvl w:val="2"/>
      </w:pPr>
      <w:r>
        <w:rPr>
          <w:rFonts w:ascii="仿宋_GB2312" w:hAnsi="仿宋_GB2312" w:cs="仿宋_GB2312" w:eastAsia="仿宋_GB2312"/>
          <w:sz w:val="28"/>
          <w:b/>
        </w:rPr>
        <w:t>丝博会执委会</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丝博会执委会</w:t>
      </w:r>
      <w:r>
        <w:rPr>
          <w:rFonts w:ascii="仿宋_GB2312" w:hAnsi="仿宋_GB2312" w:cs="仿宋_GB2312" w:eastAsia="仿宋_GB2312"/>
        </w:rPr>
        <w:t>委托，拟对</w:t>
      </w:r>
      <w:r>
        <w:rPr>
          <w:rFonts w:ascii="仿宋_GB2312" w:hAnsi="仿宋_GB2312" w:cs="仿宋_GB2312" w:eastAsia="仿宋_GB2312"/>
        </w:rPr>
        <w:t>第九届丝博会综合服务项目公共布展</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SCZA2025-CS-0894-001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第九届丝博会综合服务项目公共布展</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第九届丝博会综合服务项目公共布展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1、供应商特定资格条件：供应商在递交响应文件截止时间前被“信用中国 ”网站（www.creditchina.gov.cn）和中国政 府采购网（www.ccgp.gov.cn）上被列入失信 被执行人、重大税收违法失信主体、政府采购严重违法失信行为记录名单的，不得参加磋商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丝博会执委会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029-63913862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西安市高新二路2号山西证券大厦21层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马亚敏、张媛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029-88451228、029-85266644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银行账号：103260087916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在领取成交通知书前，须向采购代理机构支付成交服务费，服务费由采购人与采购代理机构约定：（参照原国家计委计价格〔2002〕1980号文和国家发改委发改办价格〔2003〕857号文的计算方法收取（按标准）。2.成交单位的代理服务费交纳信息 银行户名：陕西省采购招标有限责任公司 开户银行：中国光大银行西安友谊路支行 账号：78560188000095264 联系人：财务部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丝博会执委会</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丝博会执委会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丝博会执委会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地址：西安市高新二路2号山西证券大厦8层综合办公室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第九届丝博会综合服务项目公共布展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2,980,000.00</w:t>
      </w:r>
    </w:p>
    <w:p>
      <w:pPr>
        <w:pStyle w:val="null3"/>
      </w:pPr>
      <w:r>
        <w:rPr>
          <w:rFonts w:ascii="仿宋_GB2312" w:hAnsi="仿宋_GB2312" w:cs="仿宋_GB2312" w:eastAsia="仿宋_GB2312"/>
        </w:rPr>
        <w:t>采购包最高限价（元）: 2,980,000.00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第九届丝博会综合服务项目公共布展及重要活动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标的名称：第九届丝博会综合服务项目公共布展及重要活动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项目名称</w:t>
            </w:r>
          </w:p>
          <w:p>
            <w:pPr>
              <w:pStyle w:val="null3"/>
              <w:jc w:val="both"/>
            </w:pPr>
            <w:r>
              <w:rPr>
                <w:rFonts w:ascii="仿宋_GB2312" w:hAnsi="仿宋_GB2312" w:cs="仿宋_GB2312" w:eastAsia="仿宋_GB2312"/>
                <w:sz w:val="20"/>
              </w:rPr>
              <w:t>第</w:t>
            </w:r>
            <w:r>
              <w:rPr>
                <w:rFonts w:ascii="仿宋_GB2312" w:hAnsi="仿宋_GB2312" w:cs="仿宋_GB2312" w:eastAsia="仿宋_GB2312"/>
                <w:sz w:val="20"/>
              </w:rPr>
              <w:t>九</w:t>
            </w:r>
            <w:r>
              <w:rPr>
                <w:rFonts w:ascii="仿宋_GB2312" w:hAnsi="仿宋_GB2312" w:cs="仿宋_GB2312" w:eastAsia="仿宋_GB2312"/>
                <w:sz w:val="20"/>
              </w:rPr>
              <w:t>届丝绸之路国际博览会暨中国东西部合作与投资贸易洽谈会（</w:t>
            </w:r>
            <w:r>
              <w:rPr>
                <w:rFonts w:ascii="仿宋_GB2312" w:hAnsi="仿宋_GB2312" w:cs="仿宋_GB2312" w:eastAsia="仿宋_GB2312"/>
                <w:sz w:val="20"/>
              </w:rPr>
              <w:t>简称</w:t>
            </w:r>
            <w:r>
              <w:rPr>
                <w:rFonts w:ascii="仿宋_GB2312" w:hAnsi="仿宋_GB2312" w:cs="仿宋_GB2312" w:eastAsia="仿宋_GB2312"/>
                <w:sz w:val="20"/>
              </w:rPr>
              <w:t>:</w:t>
            </w:r>
            <w:r>
              <w:rPr>
                <w:rFonts w:ascii="仿宋_GB2312" w:hAnsi="仿宋_GB2312" w:cs="仿宋_GB2312" w:eastAsia="仿宋_GB2312"/>
                <w:sz w:val="20"/>
              </w:rPr>
              <w:t>第九届</w:t>
            </w:r>
            <w:r>
              <w:rPr>
                <w:rFonts w:ascii="仿宋_GB2312" w:hAnsi="仿宋_GB2312" w:cs="仿宋_GB2312" w:eastAsia="仿宋_GB2312"/>
                <w:sz w:val="20"/>
              </w:rPr>
              <w:t>丝博</w:t>
            </w:r>
            <w:r>
              <w:rPr>
                <w:rFonts w:ascii="仿宋_GB2312" w:hAnsi="仿宋_GB2312" w:cs="仿宋_GB2312" w:eastAsia="仿宋_GB2312"/>
                <w:sz w:val="20"/>
              </w:rPr>
              <w:t>会</w:t>
            </w:r>
            <w:r>
              <w:rPr>
                <w:rFonts w:ascii="仿宋_GB2312" w:hAnsi="仿宋_GB2312" w:cs="仿宋_GB2312" w:eastAsia="仿宋_GB2312"/>
                <w:sz w:val="20"/>
              </w:rPr>
              <w:t>）综合服务</w:t>
            </w:r>
            <w:r>
              <w:rPr>
                <w:rFonts w:ascii="仿宋_GB2312" w:hAnsi="仿宋_GB2312" w:cs="仿宋_GB2312" w:eastAsia="仿宋_GB2312"/>
                <w:sz w:val="20"/>
              </w:rPr>
              <w:t>项目</w:t>
            </w:r>
            <w:r>
              <w:rPr>
                <w:rFonts w:ascii="仿宋_GB2312" w:hAnsi="仿宋_GB2312" w:cs="仿宋_GB2312" w:eastAsia="仿宋_GB2312"/>
                <w:sz w:val="20"/>
              </w:rPr>
              <w:t>公共布展</w:t>
            </w:r>
          </w:p>
          <w:p>
            <w:pPr>
              <w:pStyle w:val="null3"/>
              <w:jc w:val="both"/>
            </w:pPr>
            <w:r>
              <w:rPr>
                <w:rFonts w:ascii="仿宋_GB2312" w:hAnsi="仿宋_GB2312" w:cs="仿宋_GB2312" w:eastAsia="仿宋_GB2312"/>
                <w:sz w:val="20"/>
              </w:rPr>
              <w:t>二、项目要求时间</w:t>
            </w:r>
          </w:p>
          <w:p>
            <w:pPr>
              <w:pStyle w:val="null3"/>
              <w:jc w:val="both"/>
            </w:pPr>
            <w:r>
              <w:rPr>
                <w:rFonts w:ascii="仿宋_GB2312" w:hAnsi="仿宋_GB2312" w:cs="仿宋_GB2312" w:eastAsia="仿宋_GB2312"/>
                <w:sz w:val="20"/>
              </w:rPr>
              <w:t>丝博</w:t>
            </w:r>
            <w:r>
              <w:rPr>
                <w:rFonts w:ascii="仿宋_GB2312" w:hAnsi="仿宋_GB2312" w:cs="仿宋_GB2312" w:eastAsia="仿宋_GB2312"/>
                <w:sz w:val="20"/>
              </w:rPr>
              <w:t>会时间</w:t>
            </w:r>
            <w:r>
              <w:rPr>
                <w:rFonts w:ascii="仿宋_GB2312" w:hAnsi="仿宋_GB2312" w:cs="仿宋_GB2312" w:eastAsia="仿宋_GB2312"/>
                <w:sz w:val="20"/>
              </w:rPr>
              <w:t>:202</w:t>
            </w:r>
            <w:r>
              <w:rPr>
                <w:rFonts w:ascii="仿宋_GB2312" w:hAnsi="仿宋_GB2312" w:cs="仿宋_GB2312" w:eastAsia="仿宋_GB2312"/>
                <w:sz w:val="20"/>
              </w:rPr>
              <w:t>5</w:t>
            </w:r>
            <w:r>
              <w:rPr>
                <w:rFonts w:ascii="仿宋_GB2312" w:hAnsi="仿宋_GB2312" w:cs="仿宋_GB2312" w:eastAsia="仿宋_GB2312"/>
                <w:sz w:val="20"/>
              </w:rPr>
              <w:t>年</w:t>
            </w:r>
            <w:r>
              <w:rPr>
                <w:rFonts w:ascii="仿宋_GB2312" w:hAnsi="仿宋_GB2312" w:cs="仿宋_GB2312" w:eastAsia="仿宋_GB2312"/>
                <w:sz w:val="20"/>
              </w:rPr>
              <w:t>5</w:t>
            </w:r>
            <w:r>
              <w:rPr>
                <w:rFonts w:ascii="仿宋_GB2312" w:hAnsi="仿宋_GB2312" w:cs="仿宋_GB2312" w:eastAsia="仿宋_GB2312"/>
                <w:sz w:val="20"/>
              </w:rPr>
              <w:t>月</w:t>
            </w:r>
            <w:r>
              <w:rPr>
                <w:rFonts w:ascii="仿宋_GB2312" w:hAnsi="仿宋_GB2312" w:cs="仿宋_GB2312" w:eastAsia="仿宋_GB2312"/>
                <w:sz w:val="20"/>
              </w:rPr>
              <w:t>21</w:t>
            </w:r>
            <w:r>
              <w:rPr>
                <w:rFonts w:ascii="仿宋_GB2312" w:hAnsi="仿宋_GB2312" w:cs="仿宋_GB2312" w:eastAsia="仿宋_GB2312"/>
                <w:sz w:val="20"/>
              </w:rPr>
              <w:t>日</w:t>
            </w:r>
            <w:r>
              <w:rPr>
                <w:rFonts w:ascii="仿宋_GB2312" w:hAnsi="仿宋_GB2312" w:cs="仿宋_GB2312" w:eastAsia="仿宋_GB2312"/>
                <w:sz w:val="20"/>
              </w:rPr>
              <w:t>-</w:t>
            </w:r>
            <w:r>
              <w:rPr>
                <w:rFonts w:ascii="仿宋_GB2312" w:hAnsi="仿宋_GB2312" w:cs="仿宋_GB2312" w:eastAsia="仿宋_GB2312"/>
                <w:sz w:val="20"/>
              </w:rPr>
              <w:t>25</w:t>
            </w:r>
            <w:r>
              <w:rPr>
                <w:rFonts w:ascii="仿宋_GB2312" w:hAnsi="仿宋_GB2312" w:cs="仿宋_GB2312" w:eastAsia="仿宋_GB2312"/>
                <w:sz w:val="20"/>
              </w:rPr>
              <w:t>日，时间</w:t>
            </w:r>
            <w:r>
              <w:rPr>
                <w:rFonts w:ascii="仿宋_GB2312" w:hAnsi="仿宋_GB2312" w:cs="仿宋_GB2312" w:eastAsia="仿宋_GB2312"/>
                <w:sz w:val="20"/>
              </w:rPr>
              <w:t>5天。</w:t>
            </w:r>
          </w:p>
          <w:p>
            <w:pPr>
              <w:pStyle w:val="null3"/>
              <w:jc w:val="both"/>
            </w:pPr>
            <w:r>
              <w:rPr>
                <w:rFonts w:ascii="仿宋_GB2312" w:hAnsi="仿宋_GB2312" w:cs="仿宋_GB2312" w:eastAsia="仿宋_GB2312"/>
                <w:sz w:val="20"/>
              </w:rPr>
              <w:t>三、</w:t>
            </w:r>
            <w:r>
              <w:rPr>
                <w:rFonts w:ascii="仿宋_GB2312" w:hAnsi="仿宋_GB2312" w:cs="仿宋_GB2312" w:eastAsia="仿宋_GB2312"/>
                <w:sz w:val="20"/>
              </w:rPr>
              <w:t>活动主要地址</w:t>
            </w:r>
          </w:p>
          <w:p>
            <w:pPr>
              <w:pStyle w:val="null3"/>
              <w:jc w:val="both"/>
            </w:pPr>
            <w:r>
              <w:rPr>
                <w:rFonts w:ascii="仿宋_GB2312" w:hAnsi="仿宋_GB2312" w:cs="仿宋_GB2312" w:eastAsia="仿宋_GB2312"/>
                <w:sz w:val="20"/>
              </w:rPr>
              <w:t>西安国际会展中心展览馆、会议楼（陕西省西安市灞桥区会展一路</w:t>
            </w:r>
            <w:r>
              <w:rPr>
                <w:rFonts w:ascii="仿宋_GB2312" w:hAnsi="仿宋_GB2312" w:cs="仿宋_GB2312" w:eastAsia="仿宋_GB2312"/>
                <w:sz w:val="20"/>
              </w:rPr>
              <w:t>1399号</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四、项目设置</w:t>
            </w:r>
          </w:p>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展区公共部分的设计搭建管理工作内容</w:t>
            </w:r>
          </w:p>
          <w:p>
            <w:pPr>
              <w:pStyle w:val="null3"/>
              <w:jc w:val="both"/>
            </w:pPr>
            <w:r>
              <w:rPr>
                <w:rFonts w:ascii="仿宋_GB2312" w:hAnsi="仿宋_GB2312" w:cs="仿宋_GB2312" w:eastAsia="仿宋_GB2312"/>
                <w:sz w:val="20"/>
              </w:rPr>
              <w:t>根据</w:t>
            </w:r>
            <w:r>
              <w:rPr>
                <w:rFonts w:ascii="仿宋_GB2312" w:hAnsi="仿宋_GB2312" w:cs="仿宋_GB2312" w:eastAsia="仿宋_GB2312"/>
                <w:sz w:val="20"/>
              </w:rPr>
              <w:t>展览</w:t>
            </w:r>
            <w:r>
              <w:rPr>
                <w:rFonts w:ascii="仿宋_GB2312" w:hAnsi="仿宋_GB2312" w:cs="仿宋_GB2312" w:eastAsia="仿宋_GB2312"/>
                <w:sz w:val="20"/>
              </w:rPr>
              <w:t>内容，结合趋势性、专业性、可持续性、可看性和体验性的特点</w:t>
            </w:r>
            <w:r>
              <w:rPr>
                <w:rFonts w:ascii="仿宋_GB2312" w:hAnsi="仿宋_GB2312" w:cs="仿宋_GB2312" w:eastAsia="仿宋_GB2312"/>
                <w:sz w:val="20"/>
              </w:rPr>
              <w:t>，</w:t>
            </w:r>
            <w:r>
              <w:rPr>
                <w:rFonts w:ascii="仿宋_GB2312" w:hAnsi="仿宋_GB2312" w:cs="仿宋_GB2312" w:eastAsia="仿宋_GB2312"/>
                <w:sz w:val="20"/>
              </w:rPr>
              <w:t>规划</w:t>
            </w:r>
            <w:r>
              <w:rPr>
                <w:rFonts w:ascii="仿宋_GB2312" w:hAnsi="仿宋_GB2312" w:cs="仿宋_GB2312" w:eastAsia="仿宋_GB2312"/>
                <w:sz w:val="20"/>
              </w:rPr>
              <w:t>西安国际会展中心展览馆、会议楼公共区域的</w:t>
            </w:r>
            <w:r>
              <w:rPr>
                <w:rFonts w:ascii="仿宋_GB2312" w:hAnsi="仿宋_GB2312" w:cs="仿宋_GB2312" w:eastAsia="仿宋_GB2312"/>
                <w:sz w:val="20"/>
              </w:rPr>
              <w:t>设计</w:t>
            </w:r>
            <w:r>
              <w:rPr>
                <w:rFonts w:ascii="仿宋_GB2312" w:hAnsi="仿宋_GB2312" w:cs="仿宋_GB2312" w:eastAsia="仿宋_GB2312"/>
                <w:sz w:val="20"/>
              </w:rPr>
              <w:t>搭建</w:t>
            </w:r>
            <w:r>
              <w:rPr>
                <w:rFonts w:ascii="仿宋_GB2312" w:hAnsi="仿宋_GB2312" w:cs="仿宋_GB2312" w:eastAsia="仿宋_GB2312"/>
                <w:sz w:val="20"/>
              </w:rPr>
              <w:t>。</w:t>
            </w:r>
            <w:r>
              <w:rPr>
                <w:rFonts w:ascii="仿宋_GB2312" w:hAnsi="仿宋_GB2312" w:cs="仿宋_GB2312" w:eastAsia="仿宋_GB2312"/>
                <w:sz w:val="20"/>
              </w:rPr>
              <w:t>具体要求如下：</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功能完善，设计新颖，选材环保，设计风格一致</w:t>
            </w:r>
            <w:r>
              <w:rPr>
                <w:rFonts w:ascii="仿宋_GB2312" w:hAnsi="仿宋_GB2312" w:cs="仿宋_GB2312" w:eastAsia="仿宋_GB2312"/>
                <w:sz w:val="20"/>
              </w:rPr>
              <w:t>，</w:t>
            </w:r>
            <w:r>
              <w:rPr>
                <w:rFonts w:ascii="仿宋_GB2312" w:hAnsi="仿宋_GB2312" w:cs="仿宋_GB2312" w:eastAsia="仿宋_GB2312"/>
                <w:sz w:val="20"/>
              </w:rPr>
              <w:t>具有国际视野。</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做好相关设计与制作工作，包括</w:t>
            </w:r>
            <w:r>
              <w:rPr>
                <w:rFonts w:ascii="仿宋_GB2312" w:hAnsi="仿宋_GB2312" w:cs="仿宋_GB2312" w:eastAsia="仿宋_GB2312"/>
                <w:sz w:val="20"/>
              </w:rPr>
              <w:t>: VI视觉设计、</w:t>
            </w:r>
            <w:r>
              <w:rPr>
                <w:rFonts w:ascii="仿宋_GB2312" w:hAnsi="仿宋_GB2312" w:cs="仿宋_GB2312" w:eastAsia="仿宋_GB2312"/>
                <w:sz w:val="20"/>
              </w:rPr>
              <w:t>主门头设计搭建；</w:t>
            </w:r>
            <w:r>
              <w:rPr>
                <w:rFonts w:ascii="仿宋_GB2312" w:hAnsi="仿宋_GB2312" w:cs="仿宋_GB2312" w:eastAsia="仿宋_GB2312"/>
                <w:sz w:val="20"/>
              </w:rPr>
              <w:t>服务台、洽谈区</w:t>
            </w:r>
            <w:r>
              <w:rPr>
                <w:rFonts w:ascii="仿宋_GB2312" w:hAnsi="仿宋_GB2312" w:cs="仿宋_GB2312" w:eastAsia="仿宋_GB2312"/>
                <w:sz w:val="20"/>
              </w:rPr>
              <w:t>、</w:t>
            </w:r>
            <w:r>
              <w:rPr>
                <w:rFonts w:ascii="仿宋_GB2312" w:hAnsi="仿宋_GB2312" w:cs="仿宋_GB2312" w:eastAsia="仿宋_GB2312"/>
                <w:sz w:val="20"/>
              </w:rPr>
              <w:t>等功能区布置</w:t>
            </w:r>
            <w:r>
              <w:rPr>
                <w:rFonts w:ascii="仿宋_GB2312" w:hAnsi="仿宋_GB2312" w:cs="仿宋_GB2312" w:eastAsia="仿宋_GB2312"/>
                <w:sz w:val="20"/>
              </w:rPr>
              <w:t>。</w:t>
            </w:r>
          </w:p>
          <w:p>
            <w:pPr>
              <w:pStyle w:val="null3"/>
            </w:pPr>
            <w:r>
              <w:rPr>
                <w:rFonts w:ascii="仿宋_GB2312" w:hAnsi="仿宋_GB2312" w:cs="仿宋_GB2312" w:eastAsia="仿宋_GB2312"/>
                <w:sz w:val="20"/>
              </w:rPr>
              <w:t>（二）应急预案</w:t>
            </w:r>
          </w:p>
          <w:p>
            <w:pPr>
              <w:pStyle w:val="null3"/>
            </w:pPr>
            <w:r>
              <w:rPr>
                <w:rFonts w:ascii="仿宋_GB2312" w:hAnsi="仿宋_GB2312" w:cs="仿宋_GB2312" w:eastAsia="仿宋_GB2312"/>
                <w:sz w:val="20"/>
              </w:rPr>
              <w:t>提供突发事件及紧急事项应急预案及处置。</w:t>
            </w:r>
          </w:p>
          <w:p>
            <w:pPr>
              <w:pStyle w:val="null3"/>
              <w:jc w:val="both"/>
            </w:pPr>
            <w:r>
              <w:rPr>
                <w:rFonts w:ascii="仿宋_GB2312" w:hAnsi="仿宋_GB2312" w:cs="仿宋_GB2312" w:eastAsia="仿宋_GB2312"/>
                <w:sz w:val="20"/>
              </w:rPr>
              <w:t>（三）方案审批要求</w:t>
            </w:r>
          </w:p>
          <w:p>
            <w:pPr>
              <w:pStyle w:val="null3"/>
            </w:pPr>
            <w:r>
              <w:rPr>
                <w:rFonts w:ascii="仿宋_GB2312" w:hAnsi="仿宋_GB2312" w:cs="仿宋_GB2312" w:eastAsia="仿宋_GB2312"/>
                <w:sz w:val="20"/>
              </w:rPr>
              <w:t>各种方案需报采购人审核后实施。</w:t>
            </w:r>
          </w:p>
          <w:p>
            <w:pPr>
              <w:pStyle w:val="null3"/>
              <w:jc w:val="both"/>
            </w:pPr>
            <w:r>
              <w:rPr>
                <w:rFonts w:ascii="仿宋_GB2312" w:hAnsi="仿宋_GB2312" w:cs="仿宋_GB2312" w:eastAsia="仿宋_GB2312"/>
                <w:sz w:val="20"/>
              </w:rPr>
              <w:t>（四）</w:t>
            </w:r>
            <w:r>
              <w:rPr>
                <w:rFonts w:ascii="仿宋_GB2312" w:hAnsi="仿宋_GB2312" w:cs="仿宋_GB2312" w:eastAsia="仿宋_GB2312"/>
                <w:sz w:val="20"/>
              </w:rPr>
              <w:t>企业及服务团队要求</w:t>
            </w:r>
          </w:p>
          <w:p>
            <w:pPr>
              <w:pStyle w:val="null3"/>
              <w:jc w:val="both"/>
            </w:pPr>
            <w:r>
              <w:rPr>
                <w:rFonts w:ascii="仿宋_GB2312" w:hAnsi="仿宋_GB2312" w:cs="仿宋_GB2312" w:eastAsia="仿宋_GB2312"/>
                <w:sz w:val="20"/>
              </w:rPr>
              <w:t>投标人须有丰富的会展资源，具备一定的</w:t>
            </w:r>
            <w:r>
              <w:rPr>
                <w:rFonts w:ascii="仿宋_GB2312" w:hAnsi="仿宋_GB2312" w:cs="仿宋_GB2312" w:eastAsia="仿宋_GB2312"/>
                <w:sz w:val="20"/>
              </w:rPr>
              <w:t>市场</w:t>
            </w:r>
            <w:r>
              <w:rPr>
                <w:rFonts w:ascii="仿宋_GB2312" w:hAnsi="仿宋_GB2312" w:cs="仿宋_GB2312" w:eastAsia="仿宋_GB2312"/>
                <w:sz w:val="20"/>
              </w:rPr>
              <w:t>竞争力</w:t>
            </w:r>
            <w:r>
              <w:rPr>
                <w:rFonts w:ascii="仿宋_GB2312" w:hAnsi="仿宋_GB2312" w:cs="仿宋_GB2312" w:eastAsia="仿宋_GB2312"/>
                <w:sz w:val="20"/>
              </w:rPr>
              <w:t>;投标人须有与项目执行相适应的专职会展团队</w:t>
            </w:r>
            <w:r>
              <w:rPr>
                <w:rFonts w:ascii="仿宋_GB2312" w:hAnsi="仿宋_GB2312" w:cs="仿宋_GB2312" w:eastAsia="仿宋_GB2312"/>
                <w:sz w:val="20"/>
              </w:rPr>
              <w:t>；</w:t>
            </w:r>
            <w:r>
              <w:rPr>
                <w:rFonts w:ascii="仿宋_GB2312" w:hAnsi="仿宋_GB2312" w:cs="仿宋_GB2312" w:eastAsia="仿宋_GB2312"/>
                <w:sz w:val="20"/>
              </w:rPr>
              <w:t>投标人须按照展会执行需求明确团队人员组成和分工，与采购方建立顺畅高效的对接沟通机制，全程负责整个项目的策划、推广、执行、管理和实施。</w:t>
            </w:r>
          </w:p>
          <w:p>
            <w:pPr>
              <w:pStyle w:val="null3"/>
              <w:jc w:val="both"/>
            </w:pPr>
            <w:r>
              <w:rPr>
                <w:rFonts w:ascii="仿宋_GB2312" w:hAnsi="仿宋_GB2312" w:cs="仿宋_GB2312" w:eastAsia="仿宋_GB2312"/>
                <w:sz w:val="20"/>
              </w:rPr>
              <w:t>（五）</w:t>
            </w:r>
            <w:r>
              <w:rPr>
                <w:rFonts w:ascii="仿宋_GB2312" w:hAnsi="仿宋_GB2312" w:cs="仿宋_GB2312" w:eastAsia="仿宋_GB2312"/>
                <w:sz w:val="20"/>
              </w:rPr>
              <w:t>项目总结</w:t>
            </w:r>
          </w:p>
          <w:p>
            <w:pPr>
              <w:pStyle w:val="null3"/>
              <w:jc w:val="both"/>
            </w:pPr>
            <w:r>
              <w:rPr>
                <w:rFonts w:ascii="仿宋_GB2312" w:hAnsi="仿宋_GB2312" w:cs="仿宋_GB2312" w:eastAsia="仿宋_GB2312"/>
                <w:sz w:val="20"/>
              </w:rPr>
              <w:t>投标人</w:t>
            </w:r>
            <w:r>
              <w:rPr>
                <w:rFonts w:ascii="仿宋_GB2312" w:hAnsi="仿宋_GB2312" w:cs="仿宋_GB2312" w:eastAsia="仿宋_GB2312"/>
                <w:sz w:val="20"/>
              </w:rPr>
              <w:t>须提供项目准备、实施进度表</w:t>
            </w:r>
            <w:r>
              <w:rPr>
                <w:rFonts w:ascii="仿宋_GB2312" w:hAnsi="仿宋_GB2312" w:cs="仿宋_GB2312" w:eastAsia="仿宋_GB2312"/>
                <w:sz w:val="20"/>
              </w:rPr>
              <w:t>等相关资料</w:t>
            </w:r>
            <w:r>
              <w:rPr>
                <w:rFonts w:ascii="仿宋_GB2312" w:hAnsi="仿宋_GB2312" w:cs="仿宋_GB2312" w:eastAsia="仿宋_GB2312"/>
                <w:sz w:val="20"/>
              </w:rPr>
              <w:t>，对项</w:t>
            </w:r>
            <w:r>
              <w:rPr>
                <w:rFonts w:ascii="仿宋_GB2312" w:hAnsi="仿宋_GB2312" w:cs="仿宋_GB2312" w:eastAsia="仿宋_GB2312"/>
                <w:sz w:val="20"/>
              </w:rPr>
              <w:t>目</w:t>
            </w:r>
            <w:r>
              <w:rPr>
                <w:rFonts w:ascii="仿宋_GB2312" w:hAnsi="仿宋_GB2312" w:cs="仿宋_GB2312" w:eastAsia="仿宋_GB2312"/>
                <w:sz w:val="20"/>
              </w:rPr>
              <w:t>执行情况进行资料信息收集、整理、分析</w:t>
            </w:r>
            <w:r>
              <w:rPr>
                <w:rFonts w:ascii="仿宋_GB2312" w:hAnsi="仿宋_GB2312" w:cs="仿宋_GB2312" w:eastAsia="仿宋_GB2312"/>
                <w:sz w:val="20"/>
              </w:rPr>
              <w:t>总结</w:t>
            </w:r>
            <w:r>
              <w:rPr>
                <w:rFonts w:ascii="仿宋_GB2312" w:hAnsi="仿宋_GB2312" w:cs="仿宋_GB2312" w:eastAsia="仿宋_GB2312"/>
                <w:sz w:val="20"/>
              </w:rPr>
              <w:t>汇总，于展会结束</w:t>
            </w:r>
            <w:r>
              <w:rPr>
                <w:rFonts w:ascii="仿宋_GB2312" w:hAnsi="仿宋_GB2312" w:cs="仿宋_GB2312" w:eastAsia="仿宋_GB2312"/>
                <w:sz w:val="20"/>
              </w:rPr>
              <w:t>1个月内提交项目总结</w:t>
            </w:r>
            <w:r>
              <w:rPr>
                <w:rFonts w:ascii="仿宋_GB2312" w:hAnsi="仿宋_GB2312" w:cs="仿宋_GB2312" w:eastAsia="仿宋_GB2312"/>
                <w:sz w:val="20"/>
              </w:rPr>
              <w:t>报告</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（六）保密及知识产权</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保密要求</w:t>
            </w:r>
          </w:p>
          <w:p>
            <w:pPr>
              <w:pStyle w:val="null3"/>
              <w:jc w:val="both"/>
            </w:pPr>
            <w:r>
              <w:rPr>
                <w:rFonts w:ascii="仿宋_GB2312" w:hAnsi="仿宋_GB2312" w:cs="仿宋_GB2312" w:eastAsia="仿宋_GB2312"/>
                <w:sz w:val="20"/>
              </w:rPr>
              <w:t>参与招标投标活动的各方应对招标文件和投标文件中的商业和技术等秘密保密，违者应对由此造成的后果承担法律责任。</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知识产权</w:t>
            </w:r>
          </w:p>
          <w:p>
            <w:pPr>
              <w:pStyle w:val="null3"/>
              <w:jc w:val="both"/>
            </w:pPr>
            <w:r>
              <w:rPr>
                <w:rFonts w:ascii="仿宋_GB2312" w:hAnsi="仿宋_GB2312" w:cs="仿宋_GB2312" w:eastAsia="仿宋_GB2312"/>
                <w:sz w:val="20"/>
              </w:rPr>
              <w:t>投标人须对其提供的方案、产品、技术和服务等拥有合法的占有、使用和处置权，并对涉及项目的所有内容可能的侵权行为指控负责，保证不损害采购人的利益。在法律范围内，如果出现文字、图片、商标和技术、商业秘密及其他侵权行为而造成的纠纷和产生的一切费用，采购人概不负责，均由投标人负责处理</w:t>
            </w:r>
            <w:r>
              <w:rPr>
                <w:rFonts w:ascii="仿宋_GB2312" w:hAnsi="仿宋_GB2312" w:cs="仿宋_GB2312" w:eastAsia="仿宋_GB2312"/>
                <w:sz w:val="20"/>
              </w:rPr>
              <w:t>;由此给采购人造成损失的，投标人应承担相应后果，并负责赔偿。投标人为执行本项</w:t>
            </w:r>
            <w:r>
              <w:rPr>
                <w:rFonts w:ascii="仿宋_GB2312" w:hAnsi="仿宋_GB2312" w:cs="仿宋_GB2312" w:eastAsia="仿宋_GB2312"/>
                <w:sz w:val="20"/>
              </w:rPr>
              <w:t>目</w:t>
            </w:r>
            <w:r>
              <w:rPr>
                <w:rFonts w:ascii="仿宋_GB2312" w:hAnsi="仿宋_GB2312" w:cs="仿宋_GB2312" w:eastAsia="仿宋_GB2312"/>
                <w:sz w:val="20"/>
              </w:rPr>
              <w:t>合同而提供的技术资料归采购人所有。投标人应保证在中华人民共和国境内使用其提供的产品、技术、服务或其任何一部分时，不会产生因第三方提出侵犯其专利权、商标权或其它知识产权而引起的法律和经济纠纷。如投标人不拥有相应的知识产权，则在报价中必须包括合法获取该知识产权的相关费用。如采购人受到来自第三方的侵权诉讼或索赔时，则采购人将及时通知投标人，投标人应主动承担相应责任并尽力维护采购人声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合同签署之日起至展会服务完毕后30日历日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验收合格之日起</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1.提供了有效的法人/企业负责人或者其他组织的营业执照等证明文件，自然人的身份证明2.供应商需在项目电子化交易系统中按要求填写《投标函》完成承诺并进行电子签章。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供应商在递交响应文件截止时间前被“信用中国 ”网站（www.creditchina.gov.cn）和中国政 府采购网（www.ccgp.gov.cn）上被列入失信 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磋商保证金已按采购文件规定提交且金额、形式符合采购文件要求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服务内容及服务邀请应答表 商务应答表 服务方案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 （弄虚作假、串通投标的情形见附注）</w:t>
            </w:r>
          </w:p>
        </w:tc>
        <w:tc>
          <w:tcPr>
            <w:tcW w:type="dxa" w:w="1661"/>
          </w:tcPr>
          <w:p>
            <w:pPr>
              <w:pStyle w:val="null3"/>
            </w:pPr>
            <w:r>
              <w:rPr>
                <w:rFonts w:ascii="仿宋_GB2312" w:hAnsi="仿宋_GB2312" w:cs="仿宋_GB2312" w:eastAsia="仿宋_GB2312"/>
              </w:rPr>
              <w:t>服务内容及服务邀请应答表 商务应答表 服务方案 供应商应提交的相关资格证明材料 标的清单 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服务内容及服务邀请应答表 商务应答表 服务方案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对项目的理解程度</w:t>
            </w:r>
          </w:p>
        </w:tc>
        <w:tc>
          <w:tcPr>
            <w:tcW w:type="dxa" w:w="2492"/>
          </w:tcPr>
          <w:p>
            <w:pPr>
              <w:pStyle w:val="null3"/>
            </w:pPr>
            <w:r>
              <w:rPr>
                <w:rFonts w:ascii="仿宋_GB2312" w:hAnsi="仿宋_GB2312" w:cs="仿宋_GB2312" w:eastAsia="仿宋_GB2312"/>
              </w:rPr>
              <w:t>针对本项目的理解分析，包括①对本项目的背景、内容及意义理解②项目的重点及亮点有具体分析及具体措施③项目定位和需求理解；方案内容详细完整、针对性强、可行性高，符合项目实际要求。每项满分5分，缺项不得分，每项内容存在缺陷，扣2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针对本项目服务要求编制，结合项目实际情况，对投标人服务方案的完善程度及合理性进行赋分包括但不限于①展区公共部分的设计搭建③现场搭建管理④安装及拆除等相关工作等；每项满分5分，缺项不得分，每项内容存在缺陷，扣2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针对本项目的安全措施，保证活动顺利进行。包括①安全管理制度；②配置安全组织机构；③安全隐患排查；④应急救援机制等⑤应急预案、医疗救援及突发事件应急保障措施。方案内容详细完整、针对性强、可行性高，符合项目实际要求。每项满分5分，缺项不得分，每项内容存在缺陷，扣2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针对本项目人员配备，包括①团队组织人员配置明细②团队人员管理制度；③各专业种类、岗位配置；④配置人员资格、职称等。每项满分4分，缺项不得分，每项内容存在缺陷，扣2分。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的合理建议及解决方案：（1）方案完整详细、描述清晰、内容科学合理、可实施性强的，得7分；（2）方案较完整但简单、内容合理性及可实施性一般的，得4分；（3）方案内容有缺失，影响到项目实施的，得1分；（4）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针对本项目的保密方案：（1）方案完整详细、描述清晰、内容科学合理、可实施性强的，得7分；（2）方案较完整但简单、内容合理性及可实施性一般的，得4分；（3）方案内容有缺失，影响到项目实施的，得1分；（4）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满足竞争性磋商文件要求且最终报价价格最低的报价为评标基准价，其价格分为满分。其他供应商的价格分统一按照下列公式计算：价格分=(评标基准价／招标报价)×10注：计算分数时四舍五入取小数点后两位。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