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版本号：SCZA2025-CS-0897-00120250422001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第九届丝博会综合服务项目现场管理及后勤综合服务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SCZA2025-CS-0897-001</w:t>
      </w:r>
      <w:r>
        <w:br/>
      </w:r>
      <w:r>
        <w:br/>
      </w:r>
      <w:r>
        <w:br/>
      </w:r>
    </w:p>
    <w:p>
      <w:pPr>
        <w:pStyle w:val="null3"/>
        <w:jc w:val="center"/>
        <w:outlineLvl w:val="2"/>
      </w:pPr>
      <w:r>
        <w:rPr>
          <w:rFonts w:ascii="仿宋_GB2312" w:hAnsi="仿宋_GB2312" w:cs="仿宋_GB2312" w:eastAsia="仿宋_GB2312"/>
          <w:sz w:val="28"/>
          <w:b/>
        </w:rPr>
        <w:t>丝博会执委会</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丝博会执委会</w:t>
      </w:r>
      <w:r>
        <w:rPr>
          <w:rFonts w:ascii="仿宋_GB2312" w:hAnsi="仿宋_GB2312" w:cs="仿宋_GB2312" w:eastAsia="仿宋_GB2312"/>
        </w:rPr>
        <w:t>委托，拟对</w:t>
      </w:r>
      <w:r>
        <w:rPr>
          <w:rFonts w:ascii="仿宋_GB2312" w:hAnsi="仿宋_GB2312" w:cs="仿宋_GB2312" w:eastAsia="仿宋_GB2312"/>
        </w:rPr>
        <w:t>第九届丝博会综合服务项目现场管理及后勤综合服务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SCZA2025-CS-0897-001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第九届丝博会综合服务项目现场管理及后勤综合服务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第九届丝博会综合服务项目现场管理及后勤综合服务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丝博会执委会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马亚敏、张媛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029-88451228、029-85266644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银行账号：103260088013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原国家计委计价格〔2002〕1980号文和国家发改委发改办价格〔2003〕857号文的计算方法收取（按标准）。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丝博会执委会</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丝博会执委会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丝博会执委会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第九届丝博会综合服务项目现场管理及后勤综合服务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第九届丝博会综合服务项目现场管理及后勤综合服务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标的名称：第九届丝博会综合服务项目现场管理及后勤综合服务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项目名称</w:t>
            </w:r>
          </w:p>
          <w:p>
            <w:pPr>
              <w:pStyle w:val="null3"/>
              <w:jc w:val="both"/>
            </w:pPr>
            <w:r>
              <w:rPr>
                <w:rFonts w:ascii="仿宋_GB2312" w:hAnsi="仿宋_GB2312" w:cs="仿宋_GB2312" w:eastAsia="仿宋_GB2312"/>
                <w:sz w:val="20"/>
              </w:rPr>
              <w:t>第</w:t>
            </w:r>
            <w:r>
              <w:rPr>
                <w:rFonts w:ascii="仿宋_GB2312" w:hAnsi="仿宋_GB2312" w:cs="仿宋_GB2312" w:eastAsia="仿宋_GB2312"/>
                <w:sz w:val="20"/>
              </w:rPr>
              <w:t>九</w:t>
            </w:r>
            <w:r>
              <w:rPr>
                <w:rFonts w:ascii="仿宋_GB2312" w:hAnsi="仿宋_GB2312" w:cs="仿宋_GB2312" w:eastAsia="仿宋_GB2312"/>
                <w:sz w:val="20"/>
              </w:rPr>
              <w:t>届丝绸之路国际博览会暨中国东西部合作与投资贸易洽谈会（</w:t>
            </w:r>
            <w:r>
              <w:rPr>
                <w:rFonts w:ascii="仿宋_GB2312" w:hAnsi="仿宋_GB2312" w:cs="仿宋_GB2312" w:eastAsia="仿宋_GB2312"/>
                <w:sz w:val="20"/>
              </w:rPr>
              <w:t>简称</w:t>
            </w:r>
            <w:r>
              <w:rPr>
                <w:rFonts w:ascii="仿宋_GB2312" w:hAnsi="仿宋_GB2312" w:cs="仿宋_GB2312" w:eastAsia="仿宋_GB2312"/>
                <w:sz w:val="20"/>
              </w:rPr>
              <w:t>:</w:t>
            </w:r>
            <w:r>
              <w:rPr>
                <w:rFonts w:ascii="仿宋_GB2312" w:hAnsi="仿宋_GB2312" w:cs="仿宋_GB2312" w:eastAsia="仿宋_GB2312"/>
                <w:sz w:val="20"/>
              </w:rPr>
              <w:t>第九届</w:t>
            </w:r>
            <w:r>
              <w:rPr>
                <w:rFonts w:ascii="仿宋_GB2312" w:hAnsi="仿宋_GB2312" w:cs="仿宋_GB2312" w:eastAsia="仿宋_GB2312"/>
                <w:sz w:val="20"/>
              </w:rPr>
              <w:t>丝博</w:t>
            </w:r>
            <w:r>
              <w:rPr>
                <w:rFonts w:ascii="仿宋_GB2312" w:hAnsi="仿宋_GB2312" w:cs="仿宋_GB2312" w:eastAsia="仿宋_GB2312"/>
                <w:sz w:val="20"/>
              </w:rPr>
              <w:t>会</w:t>
            </w:r>
            <w:r>
              <w:rPr>
                <w:rFonts w:ascii="仿宋_GB2312" w:hAnsi="仿宋_GB2312" w:cs="仿宋_GB2312" w:eastAsia="仿宋_GB2312"/>
                <w:sz w:val="20"/>
              </w:rPr>
              <w:t>）综合服务</w:t>
            </w:r>
            <w:r>
              <w:rPr>
                <w:rFonts w:ascii="仿宋_GB2312" w:hAnsi="仿宋_GB2312" w:cs="仿宋_GB2312" w:eastAsia="仿宋_GB2312"/>
                <w:sz w:val="20"/>
              </w:rPr>
              <w:t>项目</w:t>
            </w:r>
            <w:r>
              <w:rPr>
                <w:rFonts w:ascii="仿宋_GB2312" w:hAnsi="仿宋_GB2312" w:cs="仿宋_GB2312" w:eastAsia="仿宋_GB2312"/>
                <w:sz w:val="20"/>
              </w:rPr>
              <w:t>现场管理及后勤综合服务</w:t>
            </w:r>
          </w:p>
          <w:p>
            <w:pPr>
              <w:pStyle w:val="null3"/>
              <w:jc w:val="both"/>
            </w:pPr>
            <w:r>
              <w:rPr>
                <w:rFonts w:ascii="仿宋_GB2312" w:hAnsi="仿宋_GB2312" w:cs="仿宋_GB2312" w:eastAsia="仿宋_GB2312"/>
                <w:sz w:val="20"/>
              </w:rPr>
              <w:t>二、项目要求时间</w:t>
            </w:r>
          </w:p>
          <w:p>
            <w:pPr>
              <w:pStyle w:val="null3"/>
              <w:jc w:val="both"/>
            </w:pPr>
            <w:r>
              <w:rPr>
                <w:rFonts w:ascii="仿宋_GB2312" w:hAnsi="仿宋_GB2312" w:cs="仿宋_GB2312" w:eastAsia="仿宋_GB2312"/>
                <w:sz w:val="20"/>
              </w:rPr>
              <w:t>丝博</w:t>
            </w:r>
            <w:r>
              <w:rPr>
                <w:rFonts w:ascii="仿宋_GB2312" w:hAnsi="仿宋_GB2312" w:cs="仿宋_GB2312" w:eastAsia="仿宋_GB2312"/>
                <w:sz w:val="20"/>
              </w:rPr>
              <w:t>会时间</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21</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日，时间</w:t>
            </w:r>
            <w:r>
              <w:rPr>
                <w:rFonts w:ascii="仿宋_GB2312" w:hAnsi="仿宋_GB2312" w:cs="仿宋_GB2312" w:eastAsia="仿宋_GB2312"/>
                <w:sz w:val="20"/>
              </w:rPr>
              <w:t>5天。</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活动主要地址</w:t>
            </w:r>
          </w:p>
          <w:p>
            <w:pPr>
              <w:pStyle w:val="null3"/>
              <w:jc w:val="both"/>
            </w:pPr>
            <w:r>
              <w:rPr>
                <w:rFonts w:ascii="仿宋_GB2312" w:hAnsi="仿宋_GB2312" w:cs="仿宋_GB2312" w:eastAsia="仿宋_GB2312"/>
                <w:sz w:val="20"/>
              </w:rPr>
              <w:t>西安国际会展中心展览馆、会议楼（陕西省西安市灞桥区会展一路</w:t>
            </w:r>
            <w:r>
              <w:rPr>
                <w:rFonts w:ascii="仿宋_GB2312" w:hAnsi="仿宋_GB2312" w:cs="仿宋_GB2312" w:eastAsia="仿宋_GB2312"/>
                <w:sz w:val="20"/>
              </w:rPr>
              <w:t>1399号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四、项目设置</w:t>
            </w:r>
          </w:p>
          <w:p>
            <w:pPr>
              <w:pStyle w:val="null3"/>
              <w:jc w:val="both"/>
            </w:pPr>
            <w:r>
              <w:rPr>
                <w:rFonts w:ascii="仿宋_GB2312" w:hAnsi="仿宋_GB2312" w:cs="仿宋_GB2312" w:eastAsia="仿宋_GB2312"/>
                <w:sz w:val="20"/>
              </w:rPr>
              <w:t>（一）展区现场服务</w:t>
            </w:r>
          </w:p>
          <w:p>
            <w:pPr>
              <w:pStyle w:val="null3"/>
              <w:jc w:val="both"/>
            </w:pPr>
            <w:r>
              <w:rPr>
                <w:rFonts w:ascii="仿宋_GB2312" w:hAnsi="仿宋_GB2312" w:cs="仿宋_GB2312" w:eastAsia="仿宋_GB2312"/>
                <w:sz w:val="20"/>
              </w:rPr>
              <w:t>根据</w:t>
            </w:r>
            <w:r>
              <w:rPr>
                <w:rFonts w:ascii="仿宋_GB2312" w:hAnsi="仿宋_GB2312" w:cs="仿宋_GB2312" w:eastAsia="仿宋_GB2312"/>
                <w:sz w:val="20"/>
              </w:rPr>
              <w:t>执</w:t>
            </w:r>
            <w:r>
              <w:rPr>
                <w:rFonts w:ascii="仿宋_GB2312" w:hAnsi="仿宋_GB2312" w:cs="仿宋_GB2312" w:eastAsia="仿宋_GB2312"/>
                <w:sz w:val="20"/>
              </w:rPr>
              <w:t>委会要求</w:t>
            </w:r>
            <w:r>
              <w:rPr>
                <w:rFonts w:ascii="仿宋_GB2312" w:hAnsi="仿宋_GB2312" w:cs="仿宋_GB2312" w:eastAsia="仿宋_GB2312"/>
                <w:sz w:val="20"/>
              </w:rPr>
              <w:t>统一</w:t>
            </w:r>
            <w:r>
              <w:rPr>
                <w:rFonts w:ascii="仿宋_GB2312" w:hAnsi="仿宋_GB2312" w:cs="仿宋_GB2312" w:eastAsia="仿宋_GB2312"/>
                <w:sz w:val="20"/>
              </w:rPr>
              <w:t>运营管理展览、活动，提供标准的服务工作，服从</w:t>
            </w:r>
            <w:r>
              <w:rPr>
                <w:rFonts w:ascii="仿宋_GB2312" w:hAnsi="仿宋_GB2312" w:cs="仿宋_GB2312" w:eastAsia="仿宋_GB2312"/>
                <w:sz w:val="20"/>
              </w:rPr>
              <w:t>执</w:t>
            </w:r>
            <w:r>
              <w:rPr>
                <w:rFonts w:ascii="仿宋_GB2312" w:hAnsi="仿宋_GB2312" w:cs="仿宋_GB2312" w:eastAsia="仿宋_GB2312"/>
                <w:sz w:val="20"/>
              </w:rPr>
              <w:t>委会统一高效管理，满足以下要求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展会资源管理</w:t>
            </w:r>
            <w:r>
              <w:rPr>
                <w:rFonts w:ascii="仿宋_GB2312" w:hAnsi="仿宋_GB2312" w:cs="仿宋_GB2312" w:eastAsia="仿宋_GB2312"/>
                <w:sz w:val="20"/>
              </w:rPr>
              <w:t>。</w:t>
            </w:r>
            <w:r>
              <w:rPr>
                <w:rFonts w:ascii="仿宋_GB2312" w:hAnsi="仿宋_GB2312" w:cs="仿宋_GB2312" w:eastAsia="仿宋_GB2312"/>
                <w:sz w:val="20"/>
              </w:rPr>
              <w:t>充分</w:t>
            </w:r>
            <w:r>
              <w:rPr>
                <w:rFonts w:ascii="仿宋_GB2312" w:hAnsi="仿宋_GB2312" w:cs="仿宋_GB2312" w:eastAsia="仿宋_GB2312"/>
                <w:sz w:val="20"/>
              </w:rPr>
              <w:t>统筹</w:t>
            </w:r>
            <w:r>
              <w:rPr>
                <w:rFonts w:ascii="仿宋_GB2312" w:hAnsi="仿宋_GB2312" w:cs="仿宋_GB2312" w:eastAsia="仿宋_GB2312"/>
                <w:sz w:val="20"/>
              </w:rPr>
              <w:t>场地、市场</w:t>
            </w:r>
            <w:r>
              <w:rPr>
                <w:rFonts w:ascii="仿宋_GB2312" w:hAnsi="仿宋_GB2312" w:cs="仿宋_GB2312" w:eastAsia="仿宋_GB2312"/>
                <w:sz w:val="20"/>
              </w:rPr>
              <w:t>、</w:t>
            </w:r>
            <w:r>
              <w:rPr>
                <w:rFonts w:ascii="仿宋_GB2312" w:hAnsi="仿宋_GB2312" w:cs="仿宋_GB2312" w:eastAsia="仿宋_GB2312"/>
                <w:sz w:val="20"/>
              </w:rPr>
              <w:t>环境</w:t>
            </w:r>
            <w:r>
              <w:rPr>
                <w:rFonts w:ascii="仿宋_GB2312" w:hAnsi="仿宋_GB2312" w:cs="仿宋_GB2312" w:eastAsia="仿宋_GB2312"/>
                <w:sz w:val="20"/>
              </w:rPr>
              <w:t>等</w:t>
            </w:r>
            <w:r>
              <w:rPr>
                <w:rFonts w:ascii="仿宋_GB2312" w:hAnsi="仿宋_GB2312" w:cs="仿宋_GB2312" w:eastAsia="仿宋_GB2312"/>
                <w:sz w:val="20"/>
              </w:rPr>
              <w:t>因素，整合展会现场资源，做好资源运营服务，包括</w:t>
            </w:r>
            <w:r>
              <w:rPr>
                <w:rFonts w:ascii="仿宋_GB2312" w:hAnsi="仿宋_GB2312" w:cs="仿宋_GB2312" w:eastAsia="仿宋_GB2312"/>
                <w:sz w:val="20"/>
              </w:rPr>
              <w:t>:会场规划、</w:t>
            </w:r>
            <w:r>
              <w:rPr>
                <w:rFonts w:ascii="仿宋_GB2312" w:hAnsi="仿宋_GB2312" w:cs="仿宋_GB2312" w:eastAsia="仿宋_GB2312"/>
                <w:sz w:val="20"/>
              </w:rPr>
              <w:t>餐饮服务、宣传服务</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现场总值班室、贵宾</w:t>
            </w:r>
            <w:r>
              <w:rPr>
                <w:rFonts w:ascii="仿宋_GB2312" w:hAnsi="仿宋_GB2312" w:cs="仿宋_GB2312" w:eastAsia="仿宋_GB2312"/>
                <w:sz w:val="20"/>
              </w:rPr>
              <w:t>室、休息室和</w:t>
            </w:r>
            <w:r>
              <w:rPr>
                <w:rFonts w:ascii="仿宋_GB2312" w:hAnsi="仿宋_GB2312" w:cs="仿宋_GB2312" w:eastAsia="仿宋_GB2312"/>
                <w:sz w:val="20"/>
              </w:rPr>
              <w:t>安全保卫办公室、知识产权保护办公室、各展区承办单位办公室等专门机构的</w:t>
            </w:r>
            <w:r>
              <w:rPr>
                <w:rFonts w:ascii="仿宋_GB2312" w:hAnsi="仿宋_GB2312" w:cs="仿宋_GB2312" w:eastAsia="仿宋_GB2312"/>
                <w:sz w:val="20"/>
              </w:rPr>
              <w:t>大会</w:t>
            </w:r>
            <w:r>
              <w:rPr>
                <w:rFonts w:ascii="仿宋_GB2312" w:hAnsi="仿宋_GB2312" w:cs="仿宋_GB2312" w:eastAsia="仿宋_GB2312"/>
                <w:sz w:val="20"/>
              </w:rPr>
              <w:t>服务。</w:t>
            </w:r>
          </w:p>
          <w:p>
            <w:pPr>
              <w:pStyle w:val="null3"/>
              <w:jc w:val="both"/>
            </w:pPr>
            <w:r>
              <w:rPr>
                <w:rFonts w:ascii="仿宋_GB2312" w:hAnsi="仿宋_GB2312" w:cs="仿宋_GB2312" w:eastAsia="仿宋_GB2312"/>
                <w:sz w:val="20"/>
              </w:rPr>
              <w:t>（二）后勤综合保障</w:t>
            </w:r>
          </w:p>
          <w:p>
            <w:pPr>
              <w:pStyle w:val="null3"/>
              <w:jc w:val="both"/>
            </w:pPr>
            <w:r>
              <w:rPr>
                <w:rFonts w:ascii="仿宋_GB2312" w:hAnsi="仿宋_GB2312" w:cs="仿宋_GB2312" w:eastAsia="仿宋_GB2312"/>
                <w:sz w:val="20"/>
              </w:rPr>
              <w:t>根据</w:t>
            </w:r>
            <w:r>
              <w:rPr>
                <w:rFonts w:ascii="仿宋_GB2312" w:hAnsi="仿宋_GB2312" w:cs="仿宋_GB2312" w:eastAsia="仿宋_GB2312"/>
                <w:sz w:val="20"/>
              </w:rPr>
              <w:t>执</w:t>
            </w:r>
            <w:r>
              <w:rPr>
                <w:rFonts w:ascii="仿宋_GB2312" w:hAnsi="仿宋_GB2312" w:cs="仿宋_GB2312" w:eastAsia="仿宋_GB2312"/>
                <w:sz w:val="20"/>
              </w:rPr>
              <w:t>委会要求，提供</w:t>
            </w:r>
            <w:r>
              <w:rPr>
                <w:rFonts w:ascii="仿宋_GB2312" w:hAnsi="仿宋_GB2312" w:cs="仿宋_GB2312" w:eastAsia="仿宋_GB2312"/>
                <w:sz w:val="20"/>
              </w:rPr>
              <w:t>后勤综合保障</w:t>
            </w:r>
            <w:r>
              <w:rPr>
                <w:rFonts w:ascii="仿宋_GB2312" w:hAnsi="仿宋_GB2312" w:cs="仿宋_GB2312" w:eastAsia="仿宋_GB2312"/>
                <w:sz w:val="20"/>
              </w:rPr>
              <w:t>，满足以下要求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.重点保障</w:t>
            </w:r>
            <w:r>
              <w:rPr>
                <w:rFonts w:ascii="仿宋_GB2312" w:hAnsi="仿宋_GB2312" w:cs="仿宋_GB2312" w:eastAsia="仿宋_GB2312"/>
                <w:sz w:val="20"/>
              </w:rPr>
              <w:t>大会集中办公期间工作人员食宿、用车、会议室使用。</w:t>
            </w:r>
          </w:p>
          <w:p>
            <w:pPr>
              <w:pStyle w:val="null3"/>
              <w:jc w:val="both"/>
            </w:pPr>
            <w:r>
              <w:rPr>
                <w:rFonts w:ascii="仿宋_GB2312" w:hAnsi="仿宋_GB2312" w:cs="仿宋_GB2312" w:eastAsia="仿宋_GB2312"/>
                <w:sz w:val="20"/>
              </w:rPr>
              <w:t>2.做好会务资料、宣传品印刷制作工作。主要包括：文件材料、大会邀请函、办公信封、手提袋</w:t>
            </w:r>
            <w:r>
              <w:rPr>
                <w:rFonts w:ascii="仿宋_GB2312" w:hAnsi="仿宋_GB2312" w:cs="仿宋_GB2312" w:eastAsia="仿宋_GB2312"/>
                <w:sz w:val="20"/>
              </w:rPr>
              <w:t>、会刊、入场指南等。</w:t>
            </w:r>
          </w:p>
          <w:p>
            <w:pPr>
              <w:pStyle w:val="null3"/>
              <w:jc w:val="both"/>
            </w:pPr>
            <w:r>
              <w:rPr>
                <w:rFonts w:ascii="仿宋_GB2312" w:hAnsi="仿宋_GB2312" w:cs="仿宋_GB2312" w:eastAsia="仿宋_GB2312"/>
                <w:sz w:val="20"/>
              </w:rPr>
              <w:t>3.做好大会总值班室综合服务和文字材料</w:t>
            </w:r>
            <w:r>
              <w:rPr>
                <w:rFonts w:ascii="仿宋_GB2312" w:hAnsi="仿宋_GB2312" w:cs="仿宋_GB2312" w:eastAsia="仿宋_GB2312"/>
                <w:sz w:val="20"/>
              </w:rPr>
              <w:t>（</w:t>
            </w:r>
            <w:r>
              <w:rPr>
                <w:rFonts w:ascii="仿宋_GB2312" w:hAnsi="仿宋_GB2312" w:cs="仿宋_GB2312" w:eastAsia="仿宋_GB2312"/>
                <w:sz w:val="20"/>
              </w:rPr>
              <w:t>①</w:t>
            </w:r>
            <w:r>
              <w:rPr>
                <w:rFonts w:ascii="仿宋_GB2312" w:hAnsi="仿宋_GB2312" w:cs="仿宋_GB2312" w:eastAsia="仿宋_GB2312"/>
                <w:sz w:val="20"/>
              </w:rPr>
              <w:t>会刊</w:t>
            </w:r>
            <w:r>
              <w:rPr>
                <w:rFonts w:ascii="仿宋_GB2312" w:hAnsi="仿宋_GB2312" w:cs="仿宋_GB2312" w:eastAsia="仿宋_GB2312"/>
                <w:sz w:val="20"/>
              </w:rPr>
              <w:t>等资料收集、编辑和大会翻译、各类文件校核</w:t>
            </w:r>
            <w:r>
              <w:rPr>
                <w:rFonts w:ascii="仿宋_GB2312" w:hAnsi="仿宋_GB2312" w:cs="仿宋_GB2312" w:eastAsia="仿宋_GB2312"/>
                <w:sz w:val="20"/>
              </w:rPr>
              <w:t>；</w:t>
            </w:r>
            <w:r>
              <w:rPr>
                <w:rFonts w:ascii="仿宋_GB2312" w:hAnsi="仿宋_GB2312" w:cs="仿宋_GB2312" w:eastAsia="仿宋_GB2312"/>
                <w:sz w:val="20"/>
              </w:rPr>
              <w:t>②</w:t>
            </w:r>
            <w:r>
              <w:rPr>
                <w:rFonts w:ascii="仿宋_GB2312" w:hAnsi="仿宋_GB2312" w:cs="仿宋_GB2312" w:eastAsia="仿宋_GB2312"/>
                <w:sz w:val="20"/>
              </w:rPr>
              <w:t>丝博会《工作动态》的采集、编辑、报审、印发</w:t>
            </w:r>
            <w:r>
              <w:rPr>
                <w:rFonts w:ascii="仿宋_GB2312" w:hAnsi="仿宋_GB2312" w:cs="仿宋_GB2312" w:eastAsia="仿宋_GB2312"/>
                <w:sz w:val="20"/>
              </w:rPr>
              <w:t>）</w:t>
            </w:r>
            <w:r>
              <w:rPr>
                <w:rFonts w:ascii="仿宋_GB2312" w:hAnsi="仿宋_GB2312" w:cs="仿宋_GB2312" w:eastAsia="仿宋_GB2312"/>
                <w:sz w:val="20"/>
              </w:rPr>
              <w:t>起草服务工作。</w:t>
            </w:r>
          </w:p>
          <w:p>
            <w:pPr>
              <w:pStyle w:val="null3"/>
              <w:jc w:val="both"/>
            </w:pPr>
            <w:r>
              <w:rPr>
                <w:rFonts w:ascii="仿宋_GB2312" w:hAnsi="仿宋_GB2312" w:cs="仿宋_GB2312" w:eastAsia="仿宋_GB2312"/>
                <w:sz w:val="20"/>
              </w:rPr>
              <w:t>（三）展区安全管理</w:t>
            </w:r>
          </w:p>
          <w:p>
            <w:pPr>
              <w:pStyle w:val="null3"/>
              <w:jc w:val="both"/>
            </w:pPr>
            <w:r>
              <w:rPr>
                <w:rFonts w:ascii="仿宋_GB2312" w:hAnsi="仿宋_GB2312" w:cs="仿宋_GB2312" w:eastAsia="仿宋_GB2312"/>
                <w:sz w:val="20"/>
              </w:rPr>
              <w:t>1.各展区安全工作牵头协调和落实督导。</w:t>
            </w:r>
          </w:p>
          <w:p>
            <w:pPr>
              <w:pStyle w:val="null3"/>
              <w:jc w:val="both"/>
            </w:pPr>
            <w:r>
              <w:rPr>
                <w:rFonts w:ascii="仿宋_GB2312" w:hAnsi="仿宋_GB2312" w:cs="仿宋_GB2312" w:eastAsia="仿宋_GB2312"/>
                <w:sz w:val="20"/>
              </w:rPr>
              <w:t>2.负责购买大会保险。</w:t>
            </w:r>
            <w:r>
              <w:rPr>
                <w:rFonts w:ascii="仿宋_GB2312" w:hAnsi="仿宋_GB2312" w:cs="仿宋_GB2312" w:eastAsia="仿宋_GB2312"/>
                <w:sz w:val="20"/>
              </w:rPr>
              <w:t>投保人范围：包括但不限于第九届丝博会涉及的宾馆、会议等活动场所人员；参加展览会议参展参会人员、现场工作人员、服务保障人员及所有与会相关人员。</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现场安保服务，负责与展馆所在地的公安（辖区公安局、治安支队、指挥中心、派出所）、交警、消防、卫生、市场监管、城管、西安国际会展中心、物业等部门协调，解决参展车辆通行、展场秩序管理等相关事项。如发生安全问题或人员伤亡，由投标人承担全部责任。</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 xml:space="preserve"> </w:t>
            </w:r>
            <w:r>
              <w:rPr>
                <w:rFonts w:ascii="仿宋_GB2312" w:hAnsi="仿宋_GB2312" w:cs="仿宋_GB2312" w:eastAsia="仿宋_GB2312"/>
                <w:sz w:val="20"/>
              </w:rPr>
              <w:t>专业观众的组织工作</w:t>
            </w:r>
          </w:p>
          <w:p>
            <w:pPr>
              <w:pStyle w:val="null3"/>
              <w:jc w:val="both"/>
            </w:pPr>
            <w:r>
              <w:rPr>
                <w:rFonts w:ascii="仿宋_GB2312" w:hAnsi="仿宋_GB2312" w:cs="仿宋_GB2312" w:eastAsia="仿宋_GB2312"/>
                <w:sz w:val="20"/>
              </w:rPr>
              <w:t>根据执委会要求组织邀请专业观众，</w:t>
            </w:r>
            <w:r>
              <w:rPr>
                <w:rFonts w:ascii="仿宋_GB2312" w:hAnsi="仿宋_GB2312" w:cs="仿宋_GB2312" w:eastAsia="仿宋_GB2312"/>
                <w:sz w:val="20"/>
              </w:rPr>
              <w:t>组织与丝博会展览展示内容相关的低空经济、交通物流、科技创新、文旅消费等相关行业的央企、世界</w:t>
            </w:r>
            <w:r>
              <w:rPr>
                <w:rFonts w:ascii="仿宋_GB2312" w:hAnsi="仿宋_GB2312" w:cs="仿宋_GB2312" w:eastAsia="仿宋_GB2312"/>
                <w:sz w:val="20"/>
              </w:rPr>
              <w:t>500强企业，制造商、经销商、零售商等人员。</w:t>
            </w:r>
          </w:p>
          <w:p>
            <w:pPr>
              <w:pStyle w:val="null3"/>
            </w:pPr>
            <w:r>
              <w:rPr>
                <w:rFonts w:ascii="仿宋_GB2312" w:hAnsi="仿宋_GB2312" w:cs="仿宋_GB2312" w:eastAsia="仿宋_GB2312"/>
                <w:sz w:val="20"/>
              </w:rPr>
              <w:t>（五）应急预案</w:t>
            </w:r>
          </w:p>
          <w:p>
            <w:pPr>
              <w:pStyle w:val="null3"/>
            </w:pPr>
            <w:r>
              <w:rPr>
                <w:rFonts w:ascii="仿宋_GB2312" w:hAnsi="仿宋_GB2312" w:cs="仿宋_GB2312" w:eastAsia="仿宋_GB2312"/>
                <w:sz w:val="20"/>
              </w:rPr>
              <w:t>提供突发事件及紧急事项应急预案及处置。</w:t>
            </w:r>
          </w:p>
          <w:p>
            <w:pPr>
              <w:pStyle w:val="null3"/>
              <w:jc w:val="both"/>
            </w:pPr>
            <w:r>
              <w:rPr>
                <w:rFonts w:ascii="仿宋_GB2312" w:hAnsi="仿宋_GB2312" w:cs="仿宋_GB2312" w:eastAsia="仿宋_GB2312"/>
                <w:sz w:val="20"/>
              </w:rPr>
              <w:t>（六）方案审批要求</w:t>
            </w:r>
          </w:p>
          <w:p>
            <w:pPr>
              <w:pStyle w:val="null3"/>
            </w:pPr>
            <w:r>
              <w:rPr>
                <w:rFonts w:ascii="仿宋_GB2312" w:hAnsi="仿宋_GB2312" w:cs="仿宋_GB2312" w:eastAsia="仿宋_GB2312"/>
                <w:sz w:val="20"/>
              </w:rPr>
              <w:t>各种方案需报采购人审核后实施。</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企业及服务团队要求</w:t>
            </w:r>
          </w:p>
          <w:p>
            <w:pPr>
              <w:pStyle w:val="null3"/>
              <w:jc w:val="both"/>
            </w:pPr>
            <w:r>
              <w:rPr>
                <w:rFonts w:ascii="仿宋_GB2312" w:hAnsi="仿宋_GB2312" w:cs="仿宋_GB2312" w:eastAsia="仿宋_GB2312"/>
                <w:sz w:val="20"/>
              </w:rPr>
              <w:t>投标人须有丰富的会展资源，具备一定的</w:t>
            </w:r>
            <w:r>
              <w:rPr>
                <w:rFonts w:ascii="仿宋_GB2312" w:hAnsi="仿宋_GB2312" w:cs="仿宋_GB2312" w:eastAsia="仿宋_GB2312"/>
                <w:sz w:val="20"/>
              </w:rPr>
              <w:t>市场</w:t>
            </w:r>
            <w:r>
              <w:rPr>
                <w:rFonts w:ascii="仿宋_GB2312" w:hAnsi="仿宋_GB2312" w:cs="仿宋_GB2312" w:eastAsia="仿宋_GB2312"/>
                <w:sz w:val="20"/>
              </w:rPr>
              <w:t>竞争力</w:t>
            </w:r>
            <w:r>
              <w:rPr>
                <w:rFonts w:ascii="仿宋_GB2312" w:hAnsi="仿宋_GB2312" w:cs="仿宋_GB2312" w:eastAsia="仿宋_GB2312"/>
                <w:sz w:val="20"/>
              </w:rPr>
              <w:t>;投标人须有与项目执行相适应的专职会展团队</w:t>
            </w:r>
            <w:r>
              <w:rPr>
                <w:rFonts w:ascii="仿宋_GB2312" w:hAnsi="仿宋_GB2312" w:cs="仿宋_GB2312" w:eastAsia="仿宋_GB2312"/>
                <w:sz w:val="20"/>
              </w:rPr>
              <w:t>；</w:t>
            </w:r>
            <w:r>
              <w:rPr>
                <w:rFonts w:ascii="仿宋_GB2312" w:hAnsi="仿宋_GB2312" w:cs="仿宋_GB2312" w:eastAsia="仿宋_GB2312"/>
                <w:sz w:val="20"/>
              </w:rPr>
              <w:t>投标人须按照展会执行需求明确团队人员组成和分工，与采购方建立顺畅高效的对接沟通机制，全程负责整个项目的策划、推广、执行、管理和实施。</w:t>
            </w:r>
          </w:p>
          <w:p>
            <w:pPr>
              <w:pStyle w:val="null3"/>
              <w:jc w:val="both"/>
            </w:pPr>
            <w:r>
              <w:rPr>
                <w:rFonts w:ascii="仿宋_GB2312" w:hAnsi="仿宋_GB2312" w:cs="仿宋_GB2312" w:eastAsia="仿宋_GB2312"/>
                <w:sz w:val="20"/>
              </w:rPr>
              <w:t>（八）</w:t>
            </w:r>
            <w:r>
              <w:rPr>
                <w:rFonts w:ascii="仿宋_GB2312" w:hAnsi="仿宋_GB2312" w:cs="仿宋_GB2312" w:eastAsia="仿宋_GB2312"/>
                <w:sz w:val="20"/>
              </w:rPr>
              <w:t>项目总结</w:t>
            </w:r>
          </w:p>
          <w:p>
            <w:pPr>
              <w:pStyle w:val="null3"/>
              <w:jc w:val="both"/>
            </w:pPr>
            <w:r>
              <w:rPr>
                <w:rFonts w:ascii="仿宋_GB2312" w:hAnsi="仿宋_GB2312" w:cs="仿宋_GB2312" w:eastAsia="仿宋_GB2312"/>
                <w:sz w:val="20"/>
              </w:rPr>
              <w:t>投标人</w:t>
            </w:r>
            <w:r>
              <w:rPr>
                <w:rFonts w:ascii="仿宋_GB2312" w:hAnsi="仿宋_GB2312" w:cs="仿宋_GB2312" w:eastAsia="仿宋_GB2312"/>
                <w:sz w:val="20"/>
              </w:rPr>
              <w:t>须提供项目准备、实施进度表</w:t>
            </w:r>
            <w:r>
              <w:rPr>
                <w:rFonts w:ascii="仿宋_GB2312" w:hAnsi="仿宋_GB2312" w:cs="仿宋_GB2312" w:eastAsia="仿宋_GB2312"/>
                <w:sz w:val="20"/>
              </w:rPr>
              <w:t>等相关资料</w:t>
            </w:r>
            <w:r>
              <w:rPr>
                <w:rFonts w:ascii="仿宋_GB2312" w:hAnsi="仿宋_GB2312" w:cs="仿宋_GB2312" w:eastAsia="仿宋_GB2312"/>
                <w:sz w:val="20"/>
              </w:rPr>
              <w:t>，对项</w:t>
            </w:r>
            <w:r>
              <w:rPr>
                <w:rFonts w:ascii="仿宋_GB2312" w:hAnsi="仿宋_GB2312" w:cs="仿宋_GB2312" w:eastAsia="仿宋_GB2312"/>
                <w:sz w:val="20"/>
              </w:rPr>
              <w:t>目</w:t>
            </w:r>
            <w:r>
              <w:rPr>
                <w:rFonts w:ascii="仿宋_GB2312" w:hAnsi="仿宋_GB2312" w:cs="仿宋_GB2312" w:eastAsia="仿宋_GB2312"/>
                <w:sz w:val="20"/>
              </w:rPr>
              <w:t>执行情况进行资料信息收集、整理、分析</w:t>
            </w:r>
            <w:r>
              <w:rPr>
                <w:rFonts w:ascii="仿宋_GB2312" w:hAnsi="仿宋_GB2312" w:cs="仿宋_GB2312" w:eastAsia="仿宋_GB2312"/>
                <w:sz w:val="20"/>
              </w:rPr>
              <w:t>总结</w:t>
            </w:r>
            <w:r>
              <w:rPr>
                <w:rFonts w:ascii="仿宋_GB2312" w:hAnsi="仿宋_GB2312" w:cs="仿宋_GB2312" w:eastAsia="仿宋_GB2312"/>
                <w:sz w:val="20"/>
              </w:rPr>
              <w:t>汇总，于展会结束</w:t>
            </w:r>
            <w:r>
              <w:rPr>
                <w:rFonts w:ascii="仿宋_GB2312" w:hAnsi="仿宋_GB2312" w:cs="仿宋_GB2312" w:eastAsia="仿宋_GB2312"/>
                <w:sz w:val="20"/>
              </w:rPr>
              <w:t>1个月内提交项目总结</w:t>
            </w:r>
            <w:r>
              <w:rPr>
                <w:rFonts w:ascii="仿宋_GB2312" w:hAnsi="仿宋_GB2312" w:cs="仿宋_GB2312" w:eastAsia="仿宋_GB2312"/>
                <w:sz w:val="20"/>
              </w:rPr>
              <w:t>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（九）保密及知识产权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保密要求</w:t>
            </w:r>
          </w:p>
          <w:p>
            <w:pPr>
              <w:pStyle w:val="null3"/>
              <w:jc w:val="both"/>
            </w:pPr>
            <w:r>
              <w:rPr>
                <w:rFonts w:ascii="仿宋_GB2312" w:hAnsi="仿宋_GB2312" w:cs="仿宋_GB2312" w:eastAsia="仿宋_GB2312"/>
                <w:sz w:val="20"/>
              </w:rPr>
              <w:t>参与招标投标活动的各方应对招标文件和投标文件中的商业和技术等秘密保密，违者应对由此造成的后果承担法律责任。</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知识产权</w:t>
            </w:r>
          </w:p>
          <w:p>
            <w:pPr>
              <w:pStyle w:val="null3"/>
              <w:jc w:val="both"/>
            </w:pPr>
            <w:r>
              <w:rPr>
                <w:rFonts w:ascii="仿宋_GB2312" w:hAnsi="仿宋_GB2312" w:cs="仿宋_GB2312" w:eastAsia="仿宋_GB2312"/>
                <w:sz w:val="20"/>
              </w:rPr>
              <w:t>投标人须对其提供的方案、产品、技术和服务等拥有合法的占有、使用和处置权，并对涉及项目的所有内容可能的侵权行为指控负责，保证不损害采购人的利益。在法律范围内，如果出现文字、图片、商标和技术、商业秘密及其他侵权行为而造成的纠纷和产生的一切费用，采购人概不负责，均由投标人负责处理</w:t>
            </w:r>
            <w:r>
              <w:rPr>
                <w:rFonts w:ascii="仿宋_GB2312" w:hAnsi="仿宋_GB2312" w:cs="仿宋_GB2312" w:eastAsia="仿宋_GB2312"/>
                <w:sz w:val="20"/>
              </w:rPr>
              <w:t>;由此给采购人造成损失的，投标人应承担相应后果，并负责赔偿。投标人为执行本项</w:t>
            </w:r>
            <w:r>
              <w:rPr>
                <w:rFonts w:ascii="仿宋_GB2312" w:hAnsi="仿宋_GB2312" w:cs="仿宋_GB2312" w:eastAsia="仿宋_GB2312"/>
                <w:sz w:val="20"/>
              </w:rPr>
              <w:t>目</w:t>
            </w:r>
            <w:r>
              <w:rPr>
                <w:rFonts w:ascii="仿宋_GB2312" w:hAnsi="仿宋_GB2312" w:cs="仿宋_GB2312" w:eastAsia="仿宋_GB2312"/>
                <w:sz w:val="20"/>
              </w:rPr>
              <w:t>合同而提供的技术资料归采购人所有。投标人应保证在中华人民共和国境内使用其提供的产品、技术、服务或其任何一部分时，不会产生因第三方提出侵犯其专利权、商标权或其它知识产权而引起的法律和经济纠纷。如投标人不拥有相应的知识产权，则在报价中必须包括合法获取该知识产权的相关费用。如采购人受到来自第三方的侵权诉讼或索赔时，则采购人将及时通知投标人，投标人应主动承担相应责任并尽力维护采购人声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1.提供了有效的法人/企业负责人或者其他组织的营业执照等证明文件，自然人的身份证明2.供应商需在项目电子化交易系统中按要求填写《投标函》完成承诺并进行电子签章。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定位和需求理解；方案内容详细完整、针对性强、可行性高，符合项目实际要求。每项满分4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展会资源管理方案</w:t>
            </w:r>
          </w:p>
        </w:tc>
        <w:tc>
          <w:tcPr>
            <w:tcW w:type="dxa" w:w="2492"/>
          </w:tcPr>
          <w:p>
            <w:pPr>
              <w:pStyle w:val="null3"/>
            </w:pPr>
            <w:r>
              <w:rPr>
                <w:rFonts w:ascii="仿宋_GB2312" w:hAnsi="仿宋_GB2312" w:cs="仿宋_GB2312" w:eastAsia="仿宋_GB2312"/>
              </w:rPr>
              <w:t>针对本项目服务要求编制，结合项目实际情况，对投标人服务方案的完善程度及合理性进行赋分包括但不限于①会场规划、②餐饮服务③宣传服务等；每项满分4分，缺项不得分，每项内容存在缺陷，扣2分。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后勤综合保障方案</w:t>
            </w:r>
          </w:p>
        </w:tc>
        <w:tc>
          <w:tcPr>
            <w:tcW w:type="dxa" w:w="2492"/>
          </w:tcPr>
          <w:p>
            <w:pPr>
              <w:pStyle w:val="null3"/>
            </w:pPr>
            <w:r>
              <w:rPr>
                <w:rFonts w:ascii="仿宋_GB2312" w:hAnsi="仿宋_GB2312" w:cs="仿宋_GB2312" w:eastAsia="仿宋_GB2312"/>
              </w:rPr>
              <w:t>针对本项目服务要求编制，结合项目实际情况，对投标人服务方案的完善程度及合理性进行赋分包括但不限于①大会集中办公期间工作人员食宿、用车、会议室使用；②会务资料、宣传品印刷制作；③总值班室综合服务和文字材料；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保证活动顺利进行。包括①安全管理制度；②配置安全组织机构；③安全隐患排查；④应急救援机制等⑤应急预案、医疗救援及突发事件应急保障措施。方案内容详细完整、针对性强、可行性高，符合项目实际要求。每项满分3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保安人员上岗方案</w:t>
            </w:r>
          </w:p>
        </w:tc>
        <w:tc>
          <w:tcPr>
            <w:tcW w:type="dxa" w:w="2492"/>
          </w:tcPr>
          <w:p>
            <w:pPr>
              <w:pStyle w:val="null3"/>
            </w:pPr>
            <w:r>
              <w:rPr>
                <w:rFonts w:ascii="仿宋_GB2312" w:hAnsi="仿宋_GB2312" w:cs="仿宋_GB2312" w:eastAsia="仿宋_GB2312"/>
              </w:rPr>
              <w:t>针对本项目制定合理、科学的保安人员上岗方案；（1）方案完整详细、描述清晰、内容科学合理、可实施性强的，得10分。（2）方案较完整但简单、内容合理性及可实施性一般的，得7分。（3）方案内容有缺失，影响到项目实施的，得4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针对本项目人员配备，包括①团队组织人员配置明细②团队人员管理制度；③各专业种类、岗位配置；④配置人员资格、职称及工作经验。每项满分4分，缺项不得分，每项内容存在缺陷，扣2分。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建议及解决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的保密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