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版本号：CT-ZB00-282-2024.2B120250423001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陕西省交通运输厅干部教育培训项目(二次)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CT-ZB00-282-2024.2B1</w:t>
      </w:r>
      <w:r>
        <w:br/>
      </w:r>
      <w:r>
        <w:br/>
      </w:r>
      <w:r>
        <w:br/>
      </w:r>
    </w:p>
    <w:p>
      <w:pPr>
        <w:pStyle w:val="null3"/>
        <w:jc w:val="center"/>
        <w:outlineLvl w:val="2"/>
      </w:pPr>
      <w:r>
        <w:rPr>
          <w:rFonts w:ascii="仿宋_GB2312" w:hAnsi="仿宋_GB2312" w:cs="仿宋_GB2312" w:eastAsia="仿宋_GB2312"/>
          <w:sz w:val="28"/>
          <w:b/>
        </w:rPr>
        <w:t>陕西省交通职业能力建设中心</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陕西省交通职业能力建设中心</w:t>
      </w:r>
      <w:r>
        <w:rPr>
          <w:rFonts w:ascii="仿宋_GB2312" w:hAnsi="仿宋_GB2312" w:cs="仿宋_GB2312" w:eastAsia="仿宋_GB2312"/>
        </w:rPr>
        <w:t>委托，拟对</w:t>
      </w:r>
      <w:r>
        <w:rPr>
          <w:rFonts w:ascii="仿宋_GB2312" w:hAnsi="仿宋_GB2312" w:cs="仿宋_GB2312" w:eastAsia="仿宋_GB2312"/>
        </w:rPr>
        <w:t>陕西省交通运输厅干部教育培训项目(二次)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CT-ZB00-282-2024.2B1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陕西省交通运输厅干部教育培训项目(二次)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交通运输厅干部教育培训，包括交通系统领导干部、从业人员专业能力素质提升培训以及党建、人事、纪检等方面培训。主要培训对象是交通系统领导干部及从业人员，旨在全面提升综合能力素质和业务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1、投标主体资格证明：供应商应具有独立承担民事责任的能力的企业法人、事业法人、其他组织或自然人，出具合法有效的营业执照等相关证明文件，自然人参与的提供其身份证明；</w:t>
      </w:r>
    </w:p>
    <w:p>
      <w:pPr>
        <w:pStyle w:val="null3"/>
      </w:pPr>
      <w:r>
        <w:rPr>
          <w:rFonts w:ascii="仿宋_GB2312" w:hAnsi="仿宋_GB2312" w:cs="仿宋_GB2312" w:eastAsia="仿宋_GB2312"/>
        </w:rPr>
        <w:t>2、社会保障资金缴纳证明：提供递交投标文件截止时间前一年内至少一个月已缴纳的社会保障资金的证明（社会保障资金缴存单据或社保机构开具的社会保险参保缴费情况证明等）；依法不需要缴纳社会保障资金的供应商应提供相关文件证明；</w:t>
      </w:r>
    </w:p>
    <w:p>
      <w:pPr>
        <w:pStyle w:val="null3"/>
      </w:pPr>
      <w:r>
        <w:rPr>
          <w:rFonts w:ascii="仿宋_GB2312" w:hAnsi="仿宋_GB2312" w:cs="仿宋_GB2312" w:eastAsia="仿宋_GB2312"/>
        </w:rPr>
        <w:t>3、税收缴纳证明：提供递交投标文件截止时间前一年内至少一个月的纳税证明或完税证明，纳税证明或完税证明上应有代收机构或税务机关的公章或业务专用章；其他组织和自然人提供投标文件截止时间前一年内至少一个月缴纳税收的凭据；依法免税的供应商应提供相关文件证明；</w:t>
      </w:r>
    </w:p>
    <w:p>
      <w:pPr>
        <w:pStyle w:val="null3"/>
      </w:pPr>
      <w:r>
        <w:rPr>
          <w:rFonts w:ascii="仿宋_GB2312" w:hAnsi="仿宋_GB2312" w:cs="仿宋_GB2312" w:eastAsia="仿宋_GB2312"/>
        </w:rPr>
        <w:t>4、财务审计报告：提供2023年度经审计的财务报告（成立时间至递交投标文件截止时间不足一年的可提供成立后任意时段的资产负债表），或递交投标文件截止时间前六个月内基本账户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5、书面声明：投标供应商参加政府采购活动前三年内在经营活动中没有重大违法记录的书面声明；</w:t>
      </w:r>
    </w:p>
    <w:p>
      <w:pPr>
        <w:pStyle w:val="null3"/>
      </w:pPr>
      <w:r>
        <w:rPr>
          <w:rFonts w:ascii="仿宋_GB2312" w:hAnsi="仿宋_GB2312" w:cs="仿宋_GB2312" w:eastAsia="仿宋_GB2312"/>
        </w:rPr>
        <w:t>6、法定代表人（单位负责人）身份证明书或法定代表人（单位负责人）授权委托书：法定代表人（单位负责人）身份证明书或法定代表人（单位负责人）授权委托书：非法定代表人（单位负责人）参加投标的，须提供法定代表人（单位负责人）授权委托书及被授权人身份证；法定代表人（单位负责人）参加投标时，只须提供法定代表人（单位负责人）身份证；</w:t>
      </w:r>
    </w:p>
    <w:p>
      <w:pPr>
        <w:pStyle w:val="null3"/>
      </w:pPr>
      <w:r>
        <w:rPr>
          <w:rFonts w:ascii="仿宋_GB2312" w:hAnsi="仿宋_GB2312" w:cs="仿宋_GB2312" w:eastAsia="仿宋_GB2312"/>
        </w:rPr>
        <w:t>7、信用查询记录：采购代理机构通过“信用中国”网站(www.creditchina.gov.cn)、中国政府采购网(www.ccgp.gov.cn) 等查询相关主体信用记录；查询时间节点为公告发布之日起至本项目进行资格审核时。对列入失信被执行人、重大税收违法案件当事人名单、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8、承诺书：由投标供应商自行出具具备履行合同所必需的设备和专业技术能力的承诺书；</w:t>
      </w:r>
    </w:p>
    <w:p>
      <w:pPr>
        <w:pStyle w:val="null3"/>
      </w:pPr>
      <w:r>
        <w:rPr>
          <w:rFonts w:ascii="仿宋_GB2312" w:hAnsi="仿宋_GB2312" w:cs="仿宋_GB2312" w:eastAsia="仿宋_GB2312"/>
        </w:rPr>
        <w:t>9、是否联合体投标：本项目不接受联合体投标，投标供应商自行出具非联合体投标声明。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陕西省交通职业能力建设中心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16602918181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谭晶晶 、王超、王涛、李博飞、秦瑶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15209184728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采购包1：2,370,200.00元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开户银行：平安银行西安经开区支行</w:t>
            </w:r>
          </w:p>
          <w:p>
            <w:pPr>
              <w:pStyle w:val="null3"/>
            </w:pPr>
            <w:r>
              <w:rPr>
                <w:rFonts w:ascii="仿宋_GB2312" w:hAnsi="仿宋_GB2312" w:cs="仿宋_GB2312" w:eastAsia="仿宋_GB2312"/>
              </w:rPr>
              <w:t>银行账号：30201687007807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代理服务费收费标准：参照原国家计委计价格【2002】1980号文和国家发改委发改办价格【2003】857号文的计算方法（按采购包）按标准下浮20%收取； 银行户名：中昕国际项目管理有限公司 开户银行：中国建设银行股份有限公司西安文景路支行 账 号：61050178150000000278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陕西省交通职业能力建设中心</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陕西省交通职业能力建设中心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陕西省交通职业能力建设中心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联系人：谭晶晶、王超、王涛、李博飞、秦瑶</w:t>
      </w:r>
    </w:p>
    <w:p>
      <w:pPr>
        <w:pStyle w:val="null3"/>
      </w:pPr>
      <w:r>
        <w:rPr>
          <w:rFonts w:ascii="仿宋_GB2312" w:hAnsi="仿宋_GB2312" w:cs="仿宋_GB2312" w:eastAsia="仿宋_GB2312"/>
        </w:rPr>
        <w:t>联系电话：15209184728</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交通运输厅干部教育培训，包括交通系统领导干部、从业人员专业能力素质提升培训以及党建、人事、纪检等方面培训。主要培训对象是交通系统领导干部及从业人员，旨在全面提升综合能力素质和业务水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2,370,200.00</w:t>
      </w:r>
    </w:p>
    <w:p>
      <w:pPr>
        <w:pStyle w:val="null3"/>
      </w:pPr>
      <w:r>
        <w:rPr>
          <w:rFonts w:ascii="仿宋_GB2312" w:hAnsi="仿宋_GB2312" w:cs="仿宋_GB2312" w:eastAsia="仿宋_GB2312"/>
        </w:rPr>
        <w:t>采购包最高限价（元）: 2,370,200.00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培训</w:t>
            </w:r>
          </w:p>
        </w:tc>
        <w:tc>
          <w:tcPr>
            <w:tcW w:type="dxa" w:w="831"/>
          </w:tcPr>
          <w:p>
            <w:pPr>
              <w:pStyle w:val="null3"/>
              <w:jc w:val="right"/>
            </w:pPr>
            <w:r>
              <w:rPr>
                <w:rFonts w:ascii="仿宋_GB2312" w:hAnsi="仿宋_GB2312" w:cs="仿宋_GB2312" w:eastAsia="仿宋_GB2312"/>
              </w:rPr>
              <w:t>22.00</w:t>
            </w:r>
          </w:p>
        </w:tc>
        <w:tc>
          <w:tcPr>
            <w:tcW w:type="dxa" w:w="831"/>
          </w:tcPr>
          <w:p>
            <w:pPr>
              <w:pStyle w:val="null3"/>
              <w:jc w:val="right"/>
            </w:pPr>
            <w:r>
              <w:rPr>
                <w:rFonts w:ascii="仿宋_GB2312" w:hAnsi="仿宋_GB2312" w:cs="仿宋_GB2312" w:eastAsia="仿宋_GB2312"/>
              </w:rPr>
              <w:t>2,370,200.00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标的名称：培训</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pPr>
              <w:pStyle w:val="null3"/>
            </w:pPr>
            <w:r>
              <w:rPr>
                <w:rFonts w:ascii="仿宋_GB2312" w:hAnsi="仿宋_GB2312" w:cs="仿宋_GB2312" w:eastAsia="仿宋_GB2312"/>
              </w:rPr>
              <w:t>★</w:t>
            </w: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餐厅要求</w:t>
            </w:r>
          </w:p>
        </w:tc>
        <w:tc>
          <w:tcPr>
            <w:tcW w:type="dxa" w:w="2076"/>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餐厅必须具备食品经营许可证（或相关部门备案），同时供应商须出具卫生承诺书（承诺餐厅卫生须符合国家卫生相关要求），须在投标文件中附食品经营许可证复印件和卫生承诺书，如不提供则将视其投标无效。</w:t>
            </w: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项目内容及要求</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69"/>
              <w:gridCol w:w="66"/>
              <w:gridCol w:w="1726"/>
            </w:tblGrid>
            <w:tr>
              <w:tc>
                <w:tcPr>
                  <w:tcW w:type="dxa" w:w="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参数性质</w:t>
                  </w:r>
                </w:p>
              </w:tc>
              <w:tc>
                <w:tcPr>
                  <w:tcW w:type="dxa" w:w="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1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技术参数与性能指标</w:t>
                  </w:r>
                </w:p>
              </w:tc>
            </w:tr>
            <w:tr>
              <w:tc>
                <w:tcPr>
                  <w:tcW w:type="dxa" w:w="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陕西省交通运输厅干部教育培训项目</w:t>
                  </w:r>
                </w:p>
                <w:p>
                  <w:pPr>
                    <w:pStyle w:val="null3"/>
                    <w:ind w:firstLine="480"/>
                    <w:jc w:val="both"/>
                  </w:pPr>
                  <w:r>
                    <w:rPr>
                      <w:rFonts w:ascii="仿宋_GB2312" w:hAnsi="仿宋_GB2312" w:cs="仿宋_GB2312" w:eastAsia="仿宋_GB2312"/>
                      <w:sz w:val="19"/>
                    </w:rPr>
                    <w:t>一、项目概述：本次采购范围为陕西省交通运输厅干部教育培训项目（</w:t>
                  </w:r>
                  <w:r>
                    <w:rPr>
                      <w:rFonts w:ascii="仿宋_GB2312" w:hAnsi="仿宋_GB2312" w:cs="仿宋_GB2312" w:eastAsia="仿宋_GB2312"/>
                      <w:sz w:val="19"/>
                    </w:rPr>
                    <w:t>22</w:t>
                  </w:r>
                  <w:r>
                    <w:rPr>
                      <w:rFonts w:ascii="仿宋_GB2312" w:hAnsi="仿宋_GB2312" w:cs="仿宋_GB2312" w:eastAsia="仿宋_GB2312"/>
                      <w:sz w:val="19"/>
                    </w:rPr>
                    <w:t>项），服务期为合同签订之日起至</w:t>
                  </w:r>
                  <w:r>
                    <w:rPr>
                      <w:rFonts w:ascii="仿宋_GB2312" w:hAnsi="仿宋_GB2312" w:cs="仿宋_GB2312" w:eastAsia="仿宋_GB2312"/>
                      <w:sz w:val="19"/>
                    </w:rPr>
                    <w:t>2025</w:t>
                  </w:r>
                  <w:r>
                    <w:rPr>
                      <w:rFonts w:ascii="仿宋_GB2312" w:hAnsi="仿宋_GB2312" w:cs="仿宋_GB2312" w:eastAsia="仿宋_GB2312"/>
                      <w:sz w:val="19"/>
                    </w:rPr>
                    <w:t>年</w:t>
                  </w:r>
                  <w:r>
                    <w:rPr>
                      <w:rFonts w:ascii="仿宋_GB2312" w:hAnsi="仿宋_GB2312" w:cs="仿宋_GB2312" w:eastAsia="仿宋_GB2312"/>
                      <w:sz w:val="19"/>
                    </w:rPr>
                    <w:t>12</w:t>
                  </w:r>
                  <w:r>
                    <w:rPr>
                      <w:rFonts w:ascii="仿宋_GB2312" w:hAnsi="仿宋_GB2312" w:cs="仿宋_GB2312" w:eastAsia="仿宋_GB2312"/>
                      <w:sz w:val="19"/>
                    </w:rPr>
                    <w:t>月</w:t>
                  </w:r>
                  <w:r>
                    <w:rPr>
                      <w:rFonts w:ascii="仿宋_GB2312" w:hAnsi="仿宋_GB2312" w:cs="仿宋_GB2312" w:eastAsia="仿宋_GB2312"/>
                      <w:sz w:val="19"/>
                    </w:rPr>
                    <w:t>31</w:t>
                  </w:r>
                  <w:r>
                    <w:rPr>
                      <w:rFonts w:ascii="仿宋_GB2312" w:hAnsi="仿宋_GB2312" w:cs="仿宋_GB2312" w:eastAsia="仿宋_GB2312"/>
                      <w:sz w:val="19"/>
                    </w:rPr>
                    <w:t>日。本次采购内容包括培训期间学员的食宿、培训场地、培训教材、外出调研等后勤保障服务，根据培训内容聘请合格的授课老师，安排老师的往返及食宿等。</w:t>
                  </w:r>
                </w:p>
                <w:p>
                  <w:pPr>
                    <w:pStyle w:val="null3"/>
                    <w:ind w:firstLine="480"/>
                  </w:pPr>
                  <w:r>
                    <w:rPr>
                      <w:rFonts w:ascii="仿宋_GB2312" w:hAnsi="仿宋_GB2312" w:cs="仿宋_GB2312" w:eastAsia="仿宋_GB2312"/>
                      <w:sz w:val="19"/>
                    </w:rPr>
                    <w:t>二、项目内容及要求</w:t>
                  </w:r>
                </w:p>
                <w:p>
                  <w:pPr>
                    <w:pStyle w:val="null3"/>
                    <w:ind w:firstLine="480"/>
                  </w:pPr>
                  <w:r>
                    <w:rPr>
                      <w:rFonts w:ascii="仿宋_GB2312" w:hAnsi="仿宋_GB2312" w:cs="仿宋_GB2312" w:eastAsia="仿宋_GB2312"/>
                      <w:sz w:val="19"/>
                    </w:rPr>
                    <w:t>（一）项目</w:t>
                  </w:r>
                  <w:r>
                    <w:rPr>
                      <w:rFonts w:ascii="仿宋_GB2312" w:hAnsi="仿宋_GB2312" w:cs="仿宋_GB2312" w:eastAsia="仿宋_GB2312"/>
                      <w:sz w:val="19"/>
                    </w:rPr>
                    <w:t>内容</w:t>
                  </w:r>
                </w:p>
                <w:tbl>
                  <w:tblPr>
                    <w:tblBorders>
                      <w:top w:val="none" w:color="000000" w:sz="4"/>
                      <w:left w:val="none" w:color="000000" w:sz="4"/>
                      <w:bottom w:val="none" w:color="000000" w:sz="4"/>
                      <w:right w:val="none" w:color="000000" w:sz="4"/>
                      <w:insideH w:val="none"/>
                      <w:insideV w:val="none"/>
                    </w:tblBorders>
                  </w:tblPr>
                  <w:tblGrid>
                    <w:gridCol w:w="89"/>
                    <w:gridCol w:w="74"/>
                    <w:gridCol w:w="170"/>
                    <w:gridCol w:w="212"/>
                    <w:gridCol w:w="217"/>
                    <w:gridCol w:w="140"/>
                    <w:gridCol w:w="74"/>
                    <w:gridCol w:w="74"/>
                    <w:gridCol w:w="188"/>
                    <w:gridCol w:w="83"/>
                    <w:gridCol w:w="179"/>
                  </w:tblGrid>
                  <w:tr>
                    <w:tc>
                      <w:tcPr>
                        <w:tcW w:type="dxa" w:w="1500"/>
                        <w:gridSpan w:val="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陕西省交通运输厅干部教育培训项目采购内容（培训</w:t>
                        </w:r>
                        <w:r>
                          <w:rPr>
                            <w:rFonts w:ascii="仿宋_GB2312" w:hAnsi="仿宋_GB2312" w:cs="仿宋_GB2312" w:eastAsia="仿宋_GB2312"/>
                            <w:sz w:val="21"/>
                            <w:color w:val="000000"/>
                          </w:rPr>
                          <w:t>）</w:t>
                        </w:r>
                      </w:p>
                    </w:tc>
                  </w:tr>
                  <w:tr>
                    <w:tc>
                      <w:tcPr>
                        <w:tcW w:type="dxa" w:w="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主办单位</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培训名称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培训对象</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培训内容</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计划培训时间</w:t>
                        </w:r>
                      </w:p>
                    </w:tc>
                    <w:tc>
                      <w:tcPr>
                        <w:tcW w:type="dxa" w:w="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培训方式</w:t>
                        </w:r>
                      </w:p>
                    </w:tc>
                    <w:tc>
                      <w:tcPr>
                        <w:tcW w:type="dxa" w:w="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培训期数</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费用</w:t>
                        </w:r>
                        <w:r>
                          <w:rPr>
                            <w:rFonts w:ascii="仿宋_GB2312" w:hAnsi="仿宋_GB2312" w:cs="仿宋_GB2312" w:eastAsia="仿宋_GB2312"/>
                            <w:sz w:val="21"/>
                            <w:color w:val="000000"/>
                          </w:rPr>
                          <w:t>类型</w:t>
                        </w:r>
                      </w:p>
                    </w:tc>
                    <w:tc>
                      <w:tcPr>
                        <w:tcW w:type="dxa" w:w="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培训人数</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培训天数</w:t>
                        </w:r>
                        <w:r>
                          <w:rPr>
                            <w:rFonts w:ascii="仿宋_GB2312" w:hAnsi="仿宋_GB2312" w:cs="仿宋_GB2312" w:eastAsia="仿宋_GB2312"/>
                            <w:sz w:val="21"/>
                            <w:color w:val="000000"/>
                          </w:rPr>
                          <w:t>/授课学时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法规处</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交通运输综合执法机构骨干培训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各综合执法机构执法骨干人员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《行政处罚法》《交通运输行政执法程序规定》等内容</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2025年9月21日-24日</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法规处</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交通运输综合执法监督培训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各综合执法机构负责人、行政执法人员和行政执法监督人员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《交通运输行政执法质量效能提升三年行动方案（</w:t>
                        </w:r>
                        <w:r>
                          <w:rPr>
                            <w:rFonts w:ascii="仿宋_GB2312" w:hAnsi="仿宋_GB2312" w:cs="仿宋_GB2312" w:eastAsia="仿宋_GB2312"/>
                            <w:sz w:val="21"/>
                            <w:color w:val="000000"/>
                          </w:rPr>
                          <w:t>2024-2026年）三年行动》《陕西省行政执法监督条例》等内容</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2025年11月10日-13日</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建设处</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落实平安百年品质工程创建示范，推动交通建设高质量发展</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省交通系统公路水运建设管理人员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开展平安百年品质工程创建示范，现代工程建设质量、安全管理等。</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2025年9月1日</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公路处</w:t>
                        </w:r>
                        <w:r>
                          <w:rPr>
                            <w:rFonts w:ascii="仿宋_GB2312" w:hAnsi="仿宋_GB2312" w:cs="仿宋_GB2312" w:eastAsia="仿宋_GB2312"/>
                            <w:sz w:val="21"/>
                            <w:color w:val="000000"/>
                          </w:rPr>
                          <w:t>(省治超办)</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农村公路新颁布交通部标准培训学习</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各地市交通局负责农村公路建设、管理、养护等相关负责人、业务骨干</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农村公路新政策等方面解读</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2025年4月16日-18日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公路处</w:t>
                        </w:r>
                        <w:r>
                          <w:rPr>
                            <w:rFonts w:ascii="仿宋_GB2312" w:hAnsi="仿宋_GB2312" w:cs="仿宋_GB2312" w:eastAsia="仿宋_GB2312"/>
                            <w:sz w:val="21"/>
                            <w:color w:val="000000"/>
                          </w:rPr>
                          <w:t>(省治超办)</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全省治超培训学习</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各地市、厅直有关单位治超部门负责人、业务骨干</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治超政策解读和执法实务讲解</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2025年5月14日-16日</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线下省内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运输处</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全省道路运输局、科长研讨班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各设区市分管道路运输工作的局长、运输科长，单设道路运输中心主任、执法支队负责人，单设城市客运、维修机构的负责人；省道协相关领导，省中心各部门负责人</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宣贯部、省运输行业重要会议、讲话、文件精神，在物流降本增效、城乡交通运输一体化、客货邮融合发展等方面邀请专家专题辅导</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2025年5月14日-15日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安监处</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重点企业培训班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交通运输行业重点企业主要负责人及安全生产负责人</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行业安全法规制度解读，安全生产治本攻坚三年行动任务要点，全员安全责任制落实等。</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2025年6月18日-20日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海事港航处</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水路交通安全知识培训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市县交通局相关管理人员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结合我省实际，学习相关法律法规，总结我省典型的风险类型和防控要点及对策建议，指导区域安全管理工作</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2025年11月1日-3日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行政审批处</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交通运输行业事前事中事后全链条监管能力提升培训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厅系统、各地市交通运输局、行政审批局监管执法及审批工作负责人员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事前事中事后全链条监管方面最新政策宣贯、相关系统操作</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2025年5月16日-17日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省公路局</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干线公路桥梁工程师培训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各市公路局、陕西交控集团及其所属路段分公司、各收费公路经营公司桥梁隧道养护管理技术人员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桥梁规范及管理制度宣贯，桥梁病害的分析、判断，桥梁定期经常性检查，桥梁日常养护</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2025年11月21日-23日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省公路局</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公路工程建设管理培训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建设项目管理、技术人员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公路工程建设管理</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2025年9月24日-25日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省公路局</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全省公路行业安全生产管理人员培训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各市交通运输局、公路（管理）局公路行业安全生产管理人员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安全生产最新方针政策解读宣贯、公路行业有关法律法规规章制度解读，安全生产事故调查处理案例分析等</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2025年5月27日-29日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省道路运输事业发展中心</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城市客运安全管理</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各市区城市客运管理人员及重点企业负责人</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城市公交及出租车政策宣贯。</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2025年7月15日-16日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省道路运输事业发展中心</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道路危险货物运输培训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各市、县交通运输主管危运的处长、业务负责人和业务骨干；全省</w:t>
                        </w:r>
                        <w:r>
                          <w:rPr>
                            <w:rFonts w:ascii="仿宋_GB2312" w:hAnsi="仿宋_GB2312" w:cs="仿宋_GB2312" w:eastAsia="仿宋_GB2312"/>
                            <w:sz w:val="21"/>
                            <w:color w:val="000000"/>
                          </w:rPr>
                          <w:t>AAA级、部分AA级危运企业负责人</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部《危险货物道路运输规则》、《陕西省危运企业质量信誉评价办法》宣贯。</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2025年10月9日-11日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省道路运输事业发展中心</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道路运输从业资格考试考核员暨师资培训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各市（区）负责道路运输驾驶员从业资格、出租汽车驾驶员从业资格考试考核人员和培训教学师资人员；申请《从业资格考试考核员证》或到期换证人员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从业资格考试考核员职责及相关法律法规政策；培训和考试大纲相关内容；考核流程，评分合格标准和注意事项。</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2025年7月10日-11日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省道路运输事业发展中心</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全省道路运输安全管理能力提升培训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全省各市（区）交通运输主管部门、道路运输管理机构、交通运输综合执法队伍道路运输安全管理人员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道路运输相关安全生产法律法规、最新管理文件规范宣贯、典型事故案例教学等。</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2025年6月5日-6日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省水路交通事业发展中心</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水运工程项目建设管理业务培训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全省从事水运工程项目建设管理的分管领导、工程技术人员和管理人员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水运工程项目勘察设计、招投标、施工管理、竣工验收等方面</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2025年4月16日-18日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省水路交通事业发展中心</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水路运输企业安全管理人员培训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全省水路运输企业法人及安全负责人</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水路运输安全管理制度辅导、先进案例教学</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2025年8月1日-3日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省路政执法总队</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全省高速公路路政执法业务培训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总队、支队业务部门骨干</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公路管理法律法规、高速公路路政执法业务知识</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2025年5月21日-23日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质监站</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全省公路质量管理人员业务培训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省市质监站及各高速公路项目质量管理相关技术人员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公路工程质量管理业务培训及相关专业技术培训</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2025年10月15日-16日</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线上</w:t>
                        </w:r>
                        <w:r>
                          <w:rPr>
                            <w:rFonts w:ascii="仿宋_GB2312" w:hAnsi="仿宋_GB2312" w:cs="仿宋_GB2312" w:eastAsia="仿宋_GB2312"/>
                            <w:sz w:val="21"/>
                            <w:color w:val="000000"/>
                          </w:rPr>
                          <w:t>+线下</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100人（50人线上+50人线下）</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发展研究中心</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陕西交通运输年鉴业务培训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厅直各单位、厅机关各处室、各市、县交通运输局、驻陕铁路、民航、邮政相关单位、史志办全体人员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《陕西交通运输年鉴》撰写规范、要求、条目及相关资料的报送等</w:t>
                        </w:r>
                      </w:p>
                    </w:tc>
                    <w:tc>
                      <w:tcPr>
                        <w:tcW w:type="dxa" w:w="1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2025年4月17日-18日</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vMerge/>
                        <w:tcBorders>
                          <w:top w:val="none" w:color="000000" w:sz="4"/>
                          <w:left w:val="none" w:color="000000" w:sz="4"/>
                          <w:bottom w:val="single" w:color="000000" w:sz="4"/>
                          <w:right w:val="single" w:color="000000" w:sz="4"/>
                        </w:tcBorders>
                      </w:tcP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7学时</w:t>
                        </w:r>
                      </w:p>
                    </w:tc>
                  </w:tr>
                  <w:tr>
                    <w:tc>
                      <w:tcPr>
                        <w:tcW w:type="dxa" w:w="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宣教中心</w:t>
                        </w:r>
                      </w:p>
                    </w:tc>
                    <w:tc>
                      <w:tcPr>
                        <w:tcW w:type="dxa" w:w="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《陕西交通》通讯员暨省交通作协会员培训班</w:t>
                        </w:r>
                      </w:p>
                    </w:tc>
                    <w:tc>
                      <w:tcPr>
                        <w:tcW w:type="dxa" w:w="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《陕西交通》通讯员、省交通作协会员</w:t>
                        </w:r>
                      </w:p>
                    </w:tc>
                    <w:tc>
                      <w:tcPr>
                        <w:tcW w:type="dxa" w:w="2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新闻宣传、新闻写作、文学创作、摄影及新媒体</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7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线下</w:t>
                        </w:r>
                      </w:p>
                      <w:p>
                        <w:pPr>
                          <w:pStyle w:val="null3"/>
                          <w:jc w:val="center"/>
                        </w:pPr>
                        <w:r>
                          <w:rPr>
                            <w:rFonts w:ascii="仿宋_GB2312" w:hAnsi="仿宋_GB2312" w:cs="仿宋_GB2312" w:eastAsia="仿宋_GB2312"/>
                            <w:sz w:val="21"/>
                            <w:color w:val="000000"/>
                          </w:rPr>
                          <w:t>省内</w:t>
                        </w:r>
                      </w:p>
                    </w:tc>
                    <w:tc>
                      <w:tcPr>
                        <w:tcW w:type="dxa" w:w="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培训费（除师资费）</w:t>
                        </w:r>
                      </w:p>
                    </w:tc>
                    <w:tc>
                      <w:tcPr>
                        <w:tcW w:type="dxa" w:w="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90人</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2天</w:t>
                        </w:r>
                      </w:p>
                    </w:tc>
                  </w:tr>
                  <w:tr>
                    <w:tc>
                      <w:tcPr>
                        <w:tcW w:type="dxa" w:w="89"/>
                        <w:vMerge/>
                        <w:tcBorders>
                          <w:top w:val="none" w:color="000000" w:sz="4"/>
                          <w:left w:val="single" w:color="000000" w:sz="4"/>
                          <w:bottom w:val="singl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70"/>
                        <w:vMerge/>
                        <w:tcBorders>
                          <w:top w:val="none" w:color="000000" w:sz="4"/>
                          <w:left w:val="none" w:color="000000" w:sz="4"/>
                          <w:bottom w:val="single" w:color="000000" w:sz="4"/>
                          <w:right w:val="single" w:color="000000" w:sz="4"/>
                        </w:tcBorders>
                      </w:tcPr>
                      <w:p/>
                    </w:tc>
                    <w:tc>
                      <w:tcPr>
                        <w:tcW w:type="dxa" w:w="212"/>
                        <w:vMerge/>
                        <w:tcBorders>
                          <w:top w:val="none" w:color="000000" w:sz="4"/>
                          <w:left w:val="none" w:color="000000" w:sz="4"/>
                          <w:bottom w:val="single" w:color="000000" w:sz="4"/>
                          <w:right w:val="single" w:color="000000" w:sz="4"/>
                        </w:tcBorders>
                      </w:tcPr>
                      <w:p/>
                    </w:tc>
                    <w:tc>
                      <w:tcPr>
                        <w:tcW w:type="dxa" w:w="217"/>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5月15日-16日</w:t>
                        </w:r>
                      </w:p>
                    </w:tc>
                    <w:tc>
                      <w:tcPr>
                        <w:tcW w:type="dxa" w:w="74"/>
                        <w:vMerge/>
                        <w:tcBorders>
                          <w:top w:val="none" w:color="000000" w:sz="4"/>
                          <w:left w:val="none" w:color="000000" w:sz="4"/>
                          <w:bottom w:val="none" w:color="000000" w:sz="4"/>
                          <w:right w:val="single" w:color="000000" w:sz="4"/>
                        </w:tcBorders>
                      </w:tcPr>
                      <w:p/>
                    </w:tc>
                    <w:tc>
                      <w:tcPr>
                        <w:tcW w:type="dxa" w:w="74"/>
                        <w:vMerge/>
                        <w:tcBorders>
                          <w:top w:val="none" w:color="000000" w:sz="4"/>
                          <w:left w:val="none" w:color="000000" w:sz="4"/>
                          <w:bottom w:val="single" w:color="000000" w:sz="4"/>
                          <w:right w:val="single" w:color="000000" w:sz="4"/>
                        </w:tcBorders>
                      </w:tcP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师资费</w:t>
                        </w:r>
                      </w:p>
                    </w:tc>
                    <w:tc>
                      <w:tcPr>
                        <w:tcW w:type="dxa" w:w="83"/>
                        <w:vMerge/>
                        <w:tcBorders>
                          <w:top w:val="none" w:color="000000" w:sz="4"/>
                          <w:left w:val="none" w:color="000000" w:sz="4"/>
                          <w:bottom w:val="single" w:color="000000" w:sz="4"/>
                          <w:right w:val="single" w:color="000000" w:sz="4"/>
                        </w:tcBorders>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16学时</w:t>
                        </w:r>
                      </w:p>
                    </w:tc>
                  </w:tr>
                </w:tbl>
                <w:p>
                  <w:pPr>
                    <w:pStyle w:val="null3"/>
                    <w:ind w:firstLine="480"/>
                    <w:jc w:val="both"/>
                  </w:pPr>
                  <w:r>
                    <w:rPr>
                      <w:rFonts w:ascii="仿宋_GB2312" w:hAnsi="仿宋_GB2312" w:cs="仿宋_GB2312" w:eastAsia="仿宋_GB2312"/>
                      <w:sz w:val="19"/>
                    </w:rPr>
                    <w:t>（二）培训要求</w:t>
                  </w:r>
                </w:p>
                <w:p>
                  <w:pPr>
                    <w:pStyle w:val="null3"/>
                    <w:ind w:firstLine="480"/>
                    <w:jc w:val="both"/>
                  </w:pPr>
                  <w:r>
                    <w:rPr>
                      <w:rFonts w:ascii="仿宋_GB2312" w:hAnsi="仿宋_GB2312" w:cs="仿宋_GB2312" w:eastAsia="仿宋_GB2312"/>
                      <w:sz w:val="19"/>
                    </w:rPr>
                    <w:t>1.</w:t>
                  </w:r>
                  <w:r>
                    <w:rPr>
                      <w:rFonts w:ascii="仿宋_GB2312" w:hAnsi="仿宋_GB2312" w:cs="仿宋_GB2312" w:eastAsia="仿宋_GB2312"/>
                      <w:sz w:val="19"/>
                    </w:rPr>
                    <w:t>对培训场地设施的要求</w:t>
                  </w:r>
                </w:p>
                <w:p>
                  <w:pPr>
                    <w:pStyle w:val="null3"/>
                    <w:ind w:firstLine="480"/>
                    <w:jc w:val="both"/>
                  </w:pPr>
                  <w:r>
                    <w:rPr>
                      <w:rFonts w:ascii="仿宋_GB2312" w:hAnsi="仿宋_GB2312" w:cs="仿宋_GB2312" w:eastAsia="仿宋_GB2312"/>
                      <w:sz w:val="19"/>
                    </w:rPr>
                    <w:t>供应商</w:t>
                  </w:r>
                  <w:r>
                    <w:rPr>
                      <w:rFonts w:ascii="仿宋_GB2312" w:hAnsi="仿宋_GB2312" w:cs="仿宋_GB2312" w:eastAsia="仿宋_GB2312"/>
                      <w:sz w:val="19"/>
                    </w:rPr>
                    <w:t>必须</w:t>
                  </w:r>
                  <w:r>
                    <w:rPr>
                      <w:rFonts w:ascii="仿宋_GB2312" w:hAnsi="仿宋_GB2312" w:cs="仿宋_GB2312" w:eastAsia="仿宋_GB2312"/>
                      <w:sz w:val="19"/>
                    </w:rPr>
                    <w:t>在西安市内有能够满足本项目采购需求的独立</w:t>
                  </w:r>
                  <w:r>
                    <w:rPr>
                      <w:rFonts w:ascii="仿宋_GB2312" w:hAnsi="仿宋_GB2312" w:cs="仿宋_GB2312" w:eastAsia="仿宋_GB2312"/>
                      <w:sz w:val="19"/>
                    </w:rPr>
                    <w:t>培训</w:t>
                  </w:r>
                  <w:r>
                    <w:rPr>
                      <w:rFonts w:ascii="仿宋_GB2312" w:hAnsi="仿宋_GB2312" w:cs="仿宋_GB2312" w:eastAsia="仿宋_GB2312"/>
                      <w:sz w:val="19"/>
                    </w:rPr>
                    <w:t>场所，场所</w:t>
                  </w:r>
                  <w:r>
                    <w:rPr>
                      <w:rFonts w:ascii="仿宋_GB2312" w:hAnsi="仿宋_GB2312" w:cs="仿宋_GB2312" w:eastAsia="仿宋_GB2312"/>
                      <w:sz w:val="19"/>
                    </w:rPr>
                    <w:t>应当</w:t>
                  </w:r>
                  <w:r>
                    <w:rPr>
                      <w:rFonts w:ascii="仿宋_GB2312" w:hAnsi="仿宋_GB2312" w:cs="仿宋_GB2312" w:eastAsia="仿宋_GB2312"/>
                      <w:sz w:val="19"/>
                    </w:rPr>
                    <w:t>拥有足够的空间和设施，以</w:t>
                  </w:r>
                  <w:r>
                    <w:rPr>
                      <w:rFonts w:ascii="仿宋_GB2312" w:hAnsi="仿宋_GB2312" w:cs="仿宋_GB2312" w:eastAsia="仿宋_GB2312"/>
                      <w:sz w:val="19"/>
                    </w:rPr>
                    <w:t>确保干部</w:t>
                  </w:r>
                  <w:r>
                    <w:rPr>
                      <w:rFonts w:ascii="仿宋_GB2312" w:hAnsi="仿宋_GB2312" w:cs="仿宋_GB2312" w:eastAsia="仿宋_GB2312"/>
                      <w:sz w:val="19"/>
                    </w:rPr>
                    <w:t>教育</w:t>
                  </w:r>
                  <w:r>
                    <w:rPr>
                      <w:rFonts w:ascii="仿宋_GB2312" w:hAnsi="仿宋_GB2312" w:cs="仿宋_GB2312" w:eastAsia="仿宋_GB2312"/>
                      <w:sz w:val="19"/>
                    </w:rPr>
                    <w:t>培训有序开展</w:t>
                  </w:r>
                  <w:r>
                    <w:rPr>
                      <w:rFonts w:ascii="仿宋_GB2312" w:hAnsi="仿宋_GB2312" w:cs="仿宋_GB2312" w:eastAsia="仿宋_GB2312"/>
                      <w:sz w:val="19"/>
                    </w:rPr>
                    <w:t>。其中，为了确保能够提供给学员们一个良好的学习环境</w:t>
                  </w:r>
                  <w:r>
                    <w:rPr>
                      <w:rFonts w:ascii="仿宋_GB2312" w:hAnsi="仿宋_GB2312" w:cs="仿宋_GB2312" w:eastAsia="仿宋_GB2312"/>
                      <w:sz w:val="19"/>
                    </w:rPr>
                    <w:t>，</w:t>
                  </w:r>
                  <w:r>
                    <w:rPr>
                      <w:rFonts w:ascii="仿宋_GB2312" w:hAnsi="仿宋_GB2312" w:cs="仿宋_GB2312" w:eastAsia="仿宋_GB2312"/>
                      <w:sz w:val="19"/>
                    </w:rPr>
                    <w:t>授课教室作为学习和交流的核心场所</w:t>
                  </w:r>
                  <w:r>
                    <w:rPr>
                      <w:rFonts w:ascii="仿宋_GB2312" w:hAnsi="仿宋_GB2312" w:cs="仿宋_GB2312" w:eastAsia="仿宋_GB2312"/>
                      <w:sz w:val="19"/>
                    </w:rPr>
                    <w:t>，</w:t>
                  </w:r>
                  <w:r>
                    <w:rPr>
                      <w:rFonts w:ascii="仿宋_GB2312" w:hAnsi="仿宋_GB2312" w:cs="仿宋_GB2312" w:eastAsia="仿宋_GB2312"/>
                      <w:sz w:val="19"/>
                    </w:rPr>
                    <w:t>必须</w:t>
                  </w:r>
                  <w:r>
                    <w:rPr>
                      <w:rFonts w:ascii="仿宋_GB2312" w:hAnsi="仿宋_GB2312" w:cs="仿宋_GB2312" w:eastAsia="仿宋_GB2312"/>
                      <w:sz w:val="19"/>
                    </w:rPr>
                    <w:t>具备</w:t>
                  </w:r>
                  <w:r>
                    <w:rPr>
                      <w:rFonts w:ascii="仿宋_GB2312" w:hAnsi="仿宋_GB2312" w:cs="仿宋_GB2312" w:eastAsia="仿宋_GB2312"/>
                      <w:sz w:val="19"/>
                    </w:rPr>
                    <w:t>能够同时容纳至少</w:t>
                  </w:r>
                  <w:r>
                    <w:rPr>
                      <w:rFonts w:ascii="仿宋_GB2312" w:hAnsi="仿宋_GB2312" w:cs="仿宋_GB2312" w:eastAsia="仿宋_GB2312"/>
                      <w:sz w:val="19"/>
                    </w:rPr>
                    <w:t>2</w:t>
                  </w:r>
                  <w:r>
                    <w:rPr>
                      <w:rFonts w:ascii="仿宋_GB2312" w:hAnsi="仿宋_GB2312" w:cs="仿宋_GB2312" w:eastAsia="仿宋_GB2312"/>
                      <w:sz w:val="19"/>
                    </w:rPr>
                    <w:t>00</w:t>
                  </w:r>
                  <w:r>
                    <w:rPr>
                      <w:rFonts w:ascii="仿宋_GB2312" w:hAnsi="仿宋_GB2312" w:cs="仿宋_GB2312" w:eastAsia="仿宋_GB2312"/>
                      <w:sz w:val="19"/>
                    </w:rPr>
                    <w:t>人以上</w:t>
                  </w:r>
                  <w:r>
                    <w:rPr>
                      <w:rFonts w:ascii="仿宋_GB2312" w:hAnsi="仿宋_GB2312" w:cs="仿宋_GB2312" w:eastAsia="仿宋_GB2312"/>
                      <w:sz w:val="19"/>
                    </w:rPr>
                    <w:t>的条件。另外，还要配备相应的分组研讨教室</w:t>
                  </w:r>
                  <w:r>
                    <w:rPr>
                      <w:rFonts w:ascii="仿宋_GB2312" w:hAnsi="仿宋_GB2312" w:cs="仿宋_GB2312" w:eastAsia="仿宋_GB2312"/>
                      <w:sz w:val="19"/>
                    </w:rPr>
                    <w:t>。</w:t>
                  </w:r>
                </w:p>
                <w:p>
                  <w:pPr>
                    <w:pStyle w:val="null3"/>
                    <w:ind w:firstLine="480"/>
                    <w:jc w:val="both"/>
                  </w:pPr>
                  <w:r>
                    <w:rPr>
                      <w:rFonts w:ascii="仿宋_GB2312" w:hAnsi="仿宋_GB2312" w:cs="仿宋_GB2312" w:eastAsia="仿宋_GB2312"/>
                      <w:sz w:val="19"/>
                    </w:rPr>
                    <w:t>2.</w:t>
                  </w:r>
                  <w:r>
                    <w:rPr>
                      <w:rFonts w:ascii="仿宋_GB2312" w:hAnsi="仿宋_GB2312" w:cs="仿宋_GB2312" w:eastAsia="仿宋_GB2312"/>
                      <w:sz w:val="19"/>
                    </w:rPr>
                    <w:t>对授课老师的要求</w:t>
                  </w:r>
                </w:p>
                <w:p>
                  <w:pPr>
                    <w:pStyle w:val="null3"/>
                    <w:ind w:firstLine="480"/>
                    <w:jc w:val="both"/>
                  </w:pPr>
                  <w:r>
                    <w:rPr>
                      <w:rFonts w:ascii="仿宋_GB2312" w:hAnsi="仿宋_GB2312" w:cs="仿宋_GB2312" w:eastAsia="仿宋_GB2312"/>
                      <w:sz w:val="19"/>
                    </w:rPr>
                    <w:t>授课老师必须具备高尚的职业道德修养，</w:t>
                  </w:r>
                  <w:r>
                    <w:rPr>
                      <w:rFonts w:ascii="仿宋_GB2312" w:hAnsi="仿宋_GB2312" w:cs="仿宋_GB2312" w:eastAsia="仿宋_GB2312"/>
                      <w:sz w:val="19"/>
                    </w:rPr>
                    <w:t>以身作则，为人师表</w:t>
                  </w:r>
                  <w:r>
                    <w:rPr>
                      <w:rFonts w:ascii="仿宋_GB2312" w:hAnsi="仿宋_GB2312" w:cs="仿宋_GB2312" w:eastAsia="仿宋_GB2312"/>
                      <w:sz w:val="19"/>
                    </w:rPr>
                    <w:t>；必须拥有扎实的专业知识基础，精通所教授的专业领域，能够将复杂的专业知识讲解得浅显易懂；必须具备丰富的实际工作经验，能够将理论与实践相结合，以增强培训的针对性和实效性。</w:t>
                  </w:r>
                </w:p>
                <w:p>
                  <w:pPr>
                    <w:pStyle w:val="null3"/>
                    <w:ind w:firstLine="480"/>
                    <w:jc w:val="both"/>
                  </w:pPr>
                  <w:r>
                    <w:rPr>
                      <w:rFonts w:ascii="仿宋_GB2312" w:hAnsi="仿宋_GB2312" w:cs="仿宋_GB2312" w:eastAsia="仿宋_GB2312"/>
                      <w:sz w:val="19"/>
                    </w:rPr>
                    <w:t>供应商</w:t>
                  </w:r>
                  <w:r>
                    <w:rPr>
                      <w:rFonts w:ascii="仿宋_GB2312" w:hAnsi="仿宋_GB2312" w:cs="仿宋_GB2312" w:eastAsia="仿宋_GB2312"/>
                      <w:sz w:val="19"/>
                    </w:rPr>
                    <w:t>需建立完善的师资库</w:t>
                  </w:r>
                  <w:r>
                    <w:rPr>
                      <w:rFonts w:ascii="仿宋_GB2312" w:hAnsi="仿宋_GB2312" w:cs="仿宋_GB2312" w:eastAsia="仿宋_GB2312"/>
                      <w:sz w:val="19"/>
                    </w:rPr>
                    <w:t>和课程库</w:t>
                  </w:r>
                  <w:r>
                    <w:rPr>
                      <w:rFonts w:ascii="仿宋_GB2312" w:hAnsi="仿宋_GB2312" w:cs="仿宋_GB2312" w:eastAsia="仿宋_GB2312"/>
                      <w:sz w:val="19"/>
                    </w:rPr>
                    <w:t>，这不仅是为了提升培训质量，也是为了更好地满足学员的学习需求。</w:t>
                  </w:r>
                  <w:r>
                    <w:rPr>
                      <w:rFonts w:ascii="仿宋_GB2312" w:hAnsi="仿宋_GB2312" w:cs="仿宋_GB2312" w:eastAsia="仿宋_GB2312"/>
                      <w:sz w:val="19"/>
                    </w:rPr>
                    <w:t>供应商负责聘请培训期间授课老师，需严格按照培训项目主办方要求的师资力量来聘请授课老师</w:t>
                  </w:r>
                  <w:r>
                    <w:rPr>
                      <w:rFonts w:ascii="仿宋_GB2312" w:hAnsi="仿宋_GB2312" w:cs="仿宋_GB2312" w:eastAsia="仿宋_GB2312"/>
                      <w:sz w:val="19"/>
                    </w:rPr>
                    <w:t>。应积极主动地邀请高校的专家教授以及行业</w:t>
                  </w:r>
                  <w:r>
                    <w:rPr>
                      <w:rFonts w:ascii="仿宋_GB2312" w:hAnsi="仿宋_GB2312" w:cs="仿宋_GB2312" w:eastAsia="仿宋_GB2312"/>
                      <w:sz w:val="19"/>
                    </w:rPr>
                    <w:t>内</w:t>
                  </w:r>
                  <w:r>
                    <w:rPr>
                      <w:rFonts w:ascii="仿宋_GB2312" w:hAnsi="仿宋_GB2312" w:cs="仿宋_GB2312" w:eastAsia="仿宋_GB2312"/>
                      <w:sz w:val="19"/>
                    </w:rPr>
                    <w:t>的业务骨干</w:t>
                  </w:r>
                  <w:r>
                    <w:rPr>
                      <w:rFonts w:ascii="仿宋_GB2312" w:hAnsi="仿宋_GB2312" w:cs="仿宋_GB2312" w:eastAsia="仿宋_GB2312"/>
                      <w:sz w:val="19"/>
                    </w:rPr>
                    <w:t>来</w:t>
                  </w:r>
                  <w:r>
                    <w:rPr>
                      <w:rFonts w:ascii="仿宋_GB2312" w:hAnsi="仿宋_GB2312" w:cs="仿宋_GB2312" w:eastAsia="仿宋_GB2312"/>
                      <w:sz w:val="19"/>
                    </w:rPr>
                    <w:t>参与授课</w:t>
                  </w:r>
                  <w:r>
                    <w:rPr>
                      <w:rFonts w:ascii="仿宋_GB2312" w:hAnsi="仿宋_GB2312" w:cs="仿宋_GB2312" w:eastAsia="仿宋_GB2312"/>
                      <w:sz w:val="19"/>
                    </w:rPr>
                    <w:t>，授课老师也可由采购人选择或另行指定。</w:t>
                  </w:r>
                </w:p>
                <w:p>
                  <w:pPr>
                    <w:pStyle w:val="null3"/>
                    <w:ind w:firstLine="480"/>
                    <w:jc w:val="both"/>
                  </w:pPr>
                  <w:r>
                    <w:rPr>
                      <w:rFonts w:ascii="仿宋_GB2312" w:hAnsi="仿宋_GB2312" w:cs="仿宋_GB2312" w:eastAsia="仿宋_GB2312"/>
                      <w:sz w:val="19"/>
                    </w:rPr>
                    <w:t>3.</w:t>
                  </w:r>
                  <w:r>
                    <w:rPr>
                      <w:rFonts w:ascii="仿宋_GB2312" w:hAnsi="仿宋_GB2312" w:cs="仿宋_GB2312" w:eastAsia="仿宋_GB2312"/>
                      <w:sz w:val="19"/>
                    </w:rPr>
                    <w:t>对课程设置的要求</w:t>
                  </w:r>
                </w:p>
                <w:p>
                  <w:pPr>
                    <w:pStyle w:val="null3"/>
                    <w:ind w:firstLine="480"/>
                    <w:jc w:val="both"/>
                  </w:pPr>
                  <w:r>
                    <w:rPr>
                      <w:rFonts w:ascii="仿宋_GB2312" w:hAnsi="仿宋_GB2312" w:cs="仿宋_GB2312" w:eastAsia="仿宋_GB2312"/>
                      <w:sz w:val="19"/>
                    </w:rPr>
                    <w:t>在进行干部教育培训项目的过程中，课程的实施必须严格遵守</w:t>
                  </w:r>
                  <w:r>
                    <w:rPr>
                      <w:rFonts w:ascii="仿宋_GB2312" w:hAnsi="仿宋_GB2312" w:cs="仿宋_GB2312" w:eastAsia="仿宋_GB2312"/>
                      <w:sz w:val="19"/>
                    </w:rPr>
                    <w:t>干部教育培训</w:t>
                  </w:r>
                  <w:r>
                    <w:rPr>
                      <w:rFonts w:ascii="仿宋_GB2312" w:hAnsi="仿宋_GB2312" w:cs="仿宋_GB2312" w:eastAsia="仿宋_GB2312"/>
                      <w:sz w:val="19"/>
                    </w:rPr>
                    <w:t>项目所规定的学时要求，以确保执行过程的严谨性</w:t>
                  </w:r>
                  <w:r>
                    <w:rPr>
                      <w:rFonts w:ascii="仿宋_GB2312" w:hAnsi="仿宋_GB2312" w:cs="仿宋_GB2312" w:eastAsia="仿宋_GB2312"/>
                      <w:sz w:val="19"/>
                    </w:rPr>
                    <w:t>，</w:t>
                  </w:r>
                  <w:r>
                    <w:rPr>
                      <w:rFonts w:ascii="仿宋_GB2312" w:hAnsi="仿宋_GB2312" w:cs="仿宋_GB2312" w:eastAsia="仿宋_GB2312"/>
                      <w:sz w:val="19"/>
                    </w:rPr>
                    <w:t>课程内容的设计应注重理论知识与实际操作的紧密结合，避免理论与实践脱节。</w:t>
                  </w:r>
                  <w:r>
                    <w:rPr>
                      <w:rFonts w:ascii="仿宋_GB2312" w:hAnsi="仿宋_GB2312" w:cs="仿宋_GB2312" w:eastAsia="仿宋_GB2312"/>
                      <w:sz w:val="19"/>
                    </w:rPr>
                    <w:t>要</w:t>
                  </w:r>
                  <w:r>
                    <w:rPr>
                      <w:rFonts w:ascii="仿宋_GB2312" w:hAnsi="仿宋_GB2312" w:cs="仿宋_GB2312" w:eastAsia="仿宋_GB2312"/>
                      <w:sz w:val="19"/>
                    </w:rPr>
                    <w:t>通过精心设计的案例分析、现场</w:t>
                  </w:r>
                  <w:r>
                    <w:rPr>
                      <w:rFonts w:ascii="仿宋_GB2312" w:hAnsi="仿宋_GB2312" w:cs="仿宋_GB2312" w:eastAsia="仿宋_GB2312"/>
                      <w:sz w:val="19"/>
                    </w:rPr>
                    <w:t>实践研学</w:t>
                  </w:r>
                  <w:r>
                    <w:rPr>
                      <w:rFonts w:ascii="仿宋_GB2312" w:hAnsi="仿宋_GB2312" w:cs="仿宋_GB2312" w:eastAsia="仿宋_GB2312"/>
                      <w:sz w:val="19"/>
                    </w:rPr>
                    <w:t>等多种教学方式，有效地提高干部的实践能力和解决实际问题的能力</w:t>
                  </w:r>
                  <w:r>
                    <w:rPr>
                      <w:rFonts w:ascii="仿宋_GB2312" w:hAnsi="仿宋_GB2312" w:cs="仿宋_GB2312" w:eastAsia="仿宋_GB2312"/>
                      <w:sz w:val="19"/>
                    </w:rPr>
                    <w:t>。每天授课</w:t>
                  </w:r>
                  <w:r>
                    <w:rPr>
                      <w:rFonts w:ascii="仿宋_GB2312" w:hAnsi="仿宋_GB2312" w:cs="仿宋_GB2312" w:eastAsia="仿宋_GB2312"/>
                      <w:sz w:val="19"/>
                    </w:rPr>
                    <w:t>6-8</w:t>
                  </w:r>
                  <w:r>
                    <w:rPr>
                      <w:rFonts w:ascii="仿宋_GB2312" w:hAnsi="仿宋_GB2312" w:cs="仿宋_GB2312" w:eastAsia="仿宋_GB2312"/>
                      <w:sz w:val="19"/>
                    </w:rPr>
                    <w:t>学时，每学时不少于</w:t>
                  </w:r>
                  <w:r>
                    <w:rPr>
                      <w:rFonts w:ascii="仿宋_GB2312" w:hAnsi="仿宋_GB2312" w:cs="仿宋_GB2312" w:eastAsia="仿宋_GB2312"/>
                      <w:sz w:val="19"/>
                    </w:rPr>
                    <w:t>45</w:t>
                  </w:r>
                  <w:r>
                    <w:rPr>
                      <w:rFonts w:ascii="仿宋_GB2312" w:hAnsi="仿宋_GB2312" w:cs="仿宋_GB2312" w:eastAsia="仿宋_GB2312"/>
                      <w:sz w:val="19"/>
                    </w:rPr>
                    <w:t>分钟。</w:t>
                  </w:r>
                </w:p>
                <w:p>
                  <w:pPr>
                    <w:pStyle w:val="null3"/>
                    <w:ind w:firstLine="480"/>
                    <w:jc w:val="both"/>
                  </w:pPr>
                  <w:r>
                    <w:rPr>
                      <w:rFonts w:ascii="仿宋_GB2312" w:hAnsi="仿宋_GB2312" w:cs="仿宋_GB2312" w:eastAsia="仿宋_GB2312"/>
                      <w:sz w:val="19"/>
                    </w:rPr>
                    <w:t>4.</w:t>
                  </w:r>
                  <w:r>
                    <w:rPr>
                      <w:rFonts w:ascii="仿宋_GB2312" w:hAnsi="仿宋_GB2312" w:cs="仿宋_GB2312" w:eastAsia="仿宋_GB2312"/>
                      <w:sz w:val="19"/>
                    </w:rPr>
                    <w:t>对使用教材的要求</w:t>
                  </w:r>
                </w:p>
                <w:p>
                  <w:pPr>
                    <w:pStyle w:val="null3"/>
                    <w:ind w:firstLine="480"/>
                    <w:jc w:val="both"/>
                  </w:pPr>
                  <w:r>
                    <w:rPr>
                      <w:rFonts w:ascii="仿宋_GB2312" w:hAnsi="仿宋_GB2312" w:cs="仿宋_GB2312" w:eastAsia="仿宋_GB2312"/>
                      <w:sz w:val="19"/>
                    </w:rPr>
                    <w:t>党政教材：必须以新时代中国特色社会主义思想为指导，确保教材内容紧跟时代发展的步伐，准确反映马克思主义中国化时代化的最新成果。这些教材应当充分体现出新时代党的创新理论，同时满足干部在新发展阶段的理论学习和实践应用需求，以确保他们能够更好地理解和运用党的理论和路线方针政策。</w:t>
                  </w:r>
                </w:p>
                <w:p>
                  <w:pPr>
                    <w:pStyle w:val="null3"/>
                    <w:ind w:firstLine="480"/>
                    <w:jc w:val="both"/>
                  </w:pPr>
                  <w:r>
                    <w:rPr>
                      <w:rFonts w:ascii="仿宋_GB2312" w:hAnsi="仿宋_GB2312" w:cs="仿宋_GB2312" w:eastAsia="仿宋_GB2312"/>
                      <w:sz w:val="19"/>
                    </w:rPr>
                    <w:t>专业</w:t>
                  </w:r>
                  <w:r>
                    <w:rPr>
                      <w:rFonts w:ascii="仿宋_GB2312" w:hAnsi="仿宋_GB2312" w:cs="仿宋_GB2312" w:eastAsia="仿宋_GB2312"/>
                      <w:sz w:val="19"/>
                    </w:rPr>
                    <w:t>教材：</w:t>
                  </w:r>
                  <w:r>
                    <w:rPr>
                      <w:rFonts w:ascii="仿宋_GB2312" w:hAnsi="仿宋_GB2312" w:cs="仿宋_GB2312" w:eastAsia="仿宋_GB2312"/>
                      <w:sz w:val="19"/>
                    </w:rPr>
                    <w:t>必须</w:t>
                  </w:r>
                  <w:r>
                    <w:rPr>
                      <w:rFonts w:ascii="仿宋_GB2312" w:hAnsi="仿宋_GB2312" w:cs="仿宋_GB2312" w:eastAsia="仿宋_GB2312"/>
                      <w:sz w:val="19"/>
                    </w:rPr>
                    <w:t>紧密结合不同类别、不同层级以及不同岗位的干部们的具体需求，制定出具有</w:t>
                  </w:r>
                  <w:r>
                    <w:rPr>
                      <w:rFonts w:ascii="仿宋_GB2312" w:hAnsi="仿宋_GB2312" w:cs="仿宋_GB2312" w:eastAsia="仿宋_GB2312"/>
                      <w:sz w:val="19"/>
                    </w:rPr>
                    <w:t>时效性、</w:t>
                  </w:r>
                  <w:r>
                    <w:rPr>
                      <w:rFonts w:ascii="仿宋_GB2312" w:hAnsi="仿宋_GB2312" w:cs="仿宋_GB2312" w:eastAsia="仿宋_GB2312"/>
                      <w:sz w:val="19"/>
                    </w:rPr>
                    <w:t>针对性的</w:t>
                  </w:r>
                  <w:r>
                    <w:rPr>
                      <w:rFonts w:ascii="仿宋_GB2312" w:hAnsi="仿宋_GB2312" w:cs="仿宋_GB2312" w:eastAsia="仿宋_GB2312"/>
                      <w:sz w:val="19"/>
                    </w:rPr>
                    <w:t>学习</w:t>
                  </w:r>
                  <w:r>
                    <w:rPr>
                      <w:rFonts w:ascii="仿宋_GB2312" w:hAnsi="仿宋_GB2312" w:cs="仿宋_GB2312" w:eastAsia="仿宋_GB2312"/>
                      <w:sz w:val="19"/>
                    </w:rPr>
                    <w:t>内容。教材需要涵盖广泛的理论知识，还应当深入分析干部们在实际工作过程中可能遇到的各种问题，并提供相应的解决方案。此外，教材应包含对当前政策的深入解读，为干部们提供清晰的业务指导，以及丰富的实践案例分析，从而帮助他们全面提升自身的综合素质和业务能力。</w:t>
                  </w:r>
                </w:p>
                <w:p>
                  <w:pPr>
                    <w:pStyle w:val="null3"/>
                    <w:ind w:firstLine="480"/>
                    <w:jc w:val="both"/>
                  </w:pPr>
                  <w:r>
                    <w:rPr>
                      <w:rFonts w:ascii="仿宋_GB2312" w:hAnsi="仿宋_GB2312" w:cs="仿宋_GB2312" w:eastAsia="仿宋_GB2312"/>
                      <w:sz w:val="19"/>
                    </w:rPr>
                    <w:t>5.</w:t>
                  </w:r>
                  <w:r>
                    <w:rPr>
                      <w:rFonts w:ascii="仿宋_GB2312" w:hAnsi="仿宋_GB2312" w:cs="仿宋_GB2312" w:eastAsia="仿宋_GB2312"/>
                      <w:sz w:val="19"/>
                    </w:rPr>
                    <w:t>对</w:t>
                  </w:r>
                  <w:r>
                    <w:rPr>
                      <w:rFonts w:ascii="仿宋_GB2312" w:hAnsi="仿宋_GB2312" w:cs="仿宋_GB2312" w:eastAsia="仿宋_GB2312"/>
                      <w:sz w:val="19"/>
                    </w:rPr>
                    <w:t>线上培训</w:t>
                  </w:r>
                  <w:r>
                    <w:rPr>
                      <w:rFonts w:ascii="仿宋_GB2312" w:hAnsi="仿宋_GB2312" w:cs="仿宋_GB2312" w:eastAsia="仿宋_GB2312"/>
                      <w:sz w:val="19"/>
                    </w:rPr>
                    <w:t>的</w:t>
                  </w:r>
                  <w:r>
                    <w:rPr>
                      <w:rFonts w:ascii="仿宋_GB2312" w:hAnsi="仿宋_GB2312" w:cs="仿宋_GB2312" w:eastAsia="仿宋_GB2312"/>
                      <w:sz w:val="19"/>
                    </w:rPr>
                    <w:t>要求</w:t>
                  </w:r>
                </w:p>
                <w:p>
                  <w:pPr>
                    <w:pStyle w:val="null3"/>
                    <w:ind w:firstLine="480"/>
                    <w:jc w:val="both"/>
                  </w:pPr>
                  <w:r>
                    <w:rPr>
                      <w:rFonts w:ascii="仿宋_GB2312" w:hAnsi="仿宋_GB2312" w:cs="仿宋_GB2312" w:eastAsia="仿宋_GB2312"/>
                      <w:sz w:val="19"/>
                    </w:rPr>
                    <w:t>供应商需安排专人负</w:t>
                  </w:r>
                  <w:r>
                    <w:rPr>
                      <w:rFonts w:ascii="仿宋_GB2312" w:hAnsi="仿宋_GB2312" w:cs="仿宋_GB2312" w:eastAsia="仿宋_GB2312"/>
                      <w:sz w:val="19"/>
                    </w:rPr>
                    <w:t>责培训期间线上培训的操作运行（例如：腾讯会议等）。线</w:t>
                  </w:r>
                  <w:r>
                    <w:rPr>
                      <w:rFonts w:ascii="仿宋_GB2312" w:hAnsi="仿宋_GB2312" w:cs="仿宋_GB2312" w:eastAsia="仿宋_GB2312"/>
                      <w:sz w:val="19"/>
                    </w:rPr>
                    <w:t>上培训必须具备强大的承载能力，要有高效的服务器和稳定的网络连接，以支持大量用户的同时接入，保证培训活动的顺利进行，不能因为技术问题而中断或影响培训质量。要确保能够满足至少</w:t>
                  </w:r>
                  <w:r>
                    <w:rPr>
                      <w:rFonts w:ascii="仿宋_GB2312" w:hAnsi="仿宋_GB2312" w:cs="仿宋_GB2312" w:eastAsia="仿宋_GB2312"/>
                      <w:sz w:val="19"/>
                    </w:rPr>
                    <w:t>300</w:t>
                  </w:r>
                  <w:r>
                    <w:rPr>
                      <w:rFonts w:ascii="仿宋_GB2312" w:hAnsi="仿宋_GB2312" w:cs="仿宋_GB2312" w:eastAsia="仿宋_GB2312"/>
                      <w:sz w:val="19"/>
                    </w:rPr>
                    <w:t>名用户同时在线观看培训内容的需求。</w:t>
                  </w:r>
                </w:p>
                <w:p>
                  <w:pPr>
                    <w:pStyle w:val="null3"/>
                    <w:ind w:firstLine="480"/>
                    <w:jc w:val="both"/>
                  </w:pPr>
                  <w:r>
                    <w:rPr>
                      <w:rFonts w:ascii="仿宋_GB2312" w:hAnsi="仿宋_GB2312" w:cs="仿宋_GB2312" w:eastAsia="仿宋_GB2312"/>
                      <w:sz w:val="19"/>
                    </w:rPr>
                    <w:t>6.</w:t>
                  </w:r>
                  <w:r>
                    <w:rPr>
                      <w:rFonts w:ascii="仿宋_GB2312" w:hAnsi="仿宋_GB2312" w:cs="仿宋_GB2312" w:eastAsia="仿宋_GB2312"/>
                      <w:sz w:val="19"/>
                    </w:rPr>
                    <w:t>对</w:t>
                  </w:r>
                  <w:r>
                    <w:rPr>
                      <w:rFonts w:ascii="仿宋_GB2312" w:hAnsi="仿宋_GB2312" w:cs="仿宋_GB2312" w:eastAsia="仿宋_GB2312"/>
                      <w:sz w:val="19"/>
                    </w:rPr>
                    <w:t>现场教学</w:t>
                  </w:r>
                  <w:r>
                    <w:rPr>
                      <w:rFonts w:ascii="仿宋_GB2312" w:hAnsi="仿宋_GB2312" w:cs="仿宋_GB2312" w:eastAsia="仿宋_GB2312"/>
                      <w:sz w:val="19"/>
                    </w:rPr>
                    <w:t>的要求</w:t>
                  </w:r>
                </w:p>
                <w:p>
                  <w:pPr>
                    <w:pStyle w:val="null3"/>
                    <w:ind w:firstLine="480"/>
                    <w:jc w:val="both"/>
                  </w:pPr>
                  <w:r>
                    <w:rPr>
                      <w:rFonts w:ascii="仿宋_GB2312" w:hAnsi="仿宋_GB2312" w:cs="仿宋_GB2312" w:eastAsia="仿宋_GB2312"/>
                      <w:sz w:val="19"/>
                    </w:rPr>
                    <w:t>在</w:t>
                  </w:r>
                  <w:r>
                    <w:rPr>
                      <w:rFonts w:ascii="仿宋_GB2312" w:hAnsi="仿宋_GB2312" w:cs="仿宋_GB2312" w:eastAsia="仿宋_GB2312"/>
                      <w:sz w:val="19"/>
                    </w:rPr>
                    <w:t>现场教学</w:t>
                  </w:r>
                  <w:r>
                    <w:rPr>
                      <w:rFonts w:ascii="仿宋_GB2312" w:hAnsi="仿宋_GB2312" w:cs="仿宋_GB2312" w:eastAsia="仿宋_GB2312"/>
                      <w:sz w:val="19"/>
                    </w:rPr>
                    <w:t>的过程中，必须紧跟新时代的发展需求，确保学习内容的前瞻性和实用性。学习的地点和时间应当与</w:t>
                  </w:r>
                  <w:r>
                    <w:rPr>
                      <w:rFonts w:ascii="仿宋_GB2312" w:hAnsi="仿宋_GB2312" w:cs="仿宋_GB2312" w:eastAsia="仿宋_GB2312"/>
                      <w:sz w:val="19"/>
                    </w:rPr>
                    <w:t>采购人</w:t>
                  </w:r>
                  <w:r>
                    <w:rPr>
                      <w:rFonts w:ascii="仿宋_GB2312" w:hAnsi="仿宋_GB2312" w:cs="仿宋_GB2312" w:eastAsia="仿宋_GB2312"/>
                      <w:sz w:val="19"/>
                    </w:rPr>
                    <w:t>进行充分的沟通和协</w:t>
                  </w:r>
                  <w:r>
                    <w:rPr>
                      <w:rFonts w:ascii="仿宋_GB2312" w:hAnsi="仿宋_GB2312" w:cs="仿宋_GB2312" w:eastAsia="仿宋_GB2312"/>
                      <w:sz w:val="19"/>
                    </w:rPr>
                    <w:t>商</w:t>
                  </w:r>
                  <w:r>
                    <w:rPr>
                      <w:rFonts w:ascii="仿宋_GB2312" w:hAnsi="仿宋_GB2312" w:cs="仿宋_GB2312" w:eastAsia="仿宋_GB2312"/>
                      <w:sz w:val="19"/>
                    </w:rPr>
                    <w:t>，以确保学习活动的顺利</w:t>
                  </w:r>
                  <w:r>
                    <w:rPr>
                      <w:rFonts w:ascii="仿宋_GB2312" w:hAnsi="仿宋_GB2312" w:cs="仿宋_GB2312" w:eastAsia="仿宋_GB2312"/>
                      <w:sz w:val="19"/>
                    </w:rPr>
                    <w:t>有序</w:t>
                  </w:r>
                  <w:r>
                    <w:rPr>
                      <w:rFonts w:ascii="仿宋_GB2312" w:hAnsi="仿宋_GB2312" w:cs="仿宋_GB2312" w:eastAsia="仿宋_GB2312"/>
                      <w:sz w:val="19"/>
                    </w:rPr>
                    <w:t>进行</w:t>
                  </w:r>
                  <w:r>
                    <w:rPr>
                      <w:rFonts w:ascii="仿宋_GB2312" w:hAnsi="仿宋_GB2312" w:cs="仿宋_GB2312" w:eastAsia="仿宋_GB2312"/>
                      <w:sz w:val="19"/>
                    </w:rPr>
                    <w:t>。</w:t>
                  </w:r>
                </w:p>
                <w:p>
                  <w:pPr>
                    <w:pStyle w:val="null3"/>
                    <w:ind w:firstLine="480"/>
                    <w:jc w:val="both"/>
                  </w:pPr>
                  <w:r>
                    <w:rPr>
                      <w:rFonts w:ascii="仿宋_GB2312" w:hAnsi="仿宋_GB2312" w:cs="仿宋_GB2312" w:eastAsia="仿宋_GB2312"/>
                      <w:sz w:val="19"/>
                    </w:rPr>
                    <w:t>（三）后勤保障要求</w:t>
                  </w:r>
                </w:p>
                <w:p>
                  <w:pPr>
                    <w:pStyle w:val="null3"/>
                    <w:ind w:firstLine="480"/>
                    <w:jc w:val="both"/>
                  </w:pPr>
                  <w:r>
                    <w:rPr>
                      <w:rFonts w:ascii="仿宋_GB2312" w:hAnsi="仿宋_GB2312" w:cs="仿宋_GB2312" w:eastAsia="仿宋_GB2312"/>
                      <w:sz w:val="19"/>
                    </w:rPr>
                    <w:t>1.</w:t>
                  </w:r>
                  <w:r>
                    <w:rPr>
                      <w:rFonts w:ascii="仿宋_GB2312" w:hAnsi="仿宋_GB2312" w:cs="仿宋_GB2312" w:eastAsia="仿宋_GB2312"/>
                      <w:sz w:val="19"/>
                    </w:rPr>
                    <w:t>负责培训期间的全程保障。包括：组织培训前报到接待，桌签、横幅等培训会场保障；会议资料保障（学员证、学员手册制作、学习文具、学习资料等）；授课设备保障；培训</w:t>
                  </w:r>
                  <w:r>
                    <w:rPr>
                      <w:rFonts w:ascii="仿宋_GB2312" w:hAnsi="仿宋_GB2312" w:cs="仿宋_GB2312" w:eastAsia="仿宋_GB2312"/>
                      <w:sz w:val="19"/>
                    </w:rPr>
                    <w:t>结束后，问卷调查、培训证书发放等工作。其中，会场要求：要拥有一个与承接项目相适应的</w:t>
                  </w:r>
                  <w:r>
                    <w:rPr>
                      <w:rFonts w:ascii="仿宋_GB2312" w:hAnsi="仿宋_GB2312" w:cs="仿宋_GB2312" w:eastAsia="仿宋_GB2312"/>
                      <w:sz w:val="19"/>
                    </w:rPr>
                    <w:t>培训场地</w:t>
                  </w:r>
                  <w:r>
                    <w:rPr>
                      <w:rFonts w:ascii="仿宋_GB2312" w:hAnsi="仿宋_GB2312" w:cs="仿宋_GB2312" w:eastAsia="仿宋_GB2312"/>
                      <w:sz w:val="19"/>
                    </w:rPr>
                    <w:t>，能容纳项目中的最大培训班人数（</w:t>
                  </w:r>
                  <w:r>
                    <w:rPr>
                      <w:rFonts w:ascii="仿宋_GB2312" w:hAnsi="仿宋_GB2312" w:cs="仿宋_GB2312" w:eastAsia="仿宋_GB2312"/>
                      <w:sz w:val="19"/>
                    </w:rPr>
                    <w:t>≥</w:t>
                  </w:r>
                  <w:r>
                    <w:rPr>
                      <w:rFonts w:ascii="仿宋_GB2312" w:hAnsi="仿宋_GB2312" w:cs="仿宋_GB2312" w:eastAsia="仿宋_GB2312"/>
                      <w:sz w:val="19"/>
                    </w:rPr>
                    <w:t>200</w:t>
                  </w:r>
                  <w:r>
                    <w:rPr>
                      <w:rFonts w:ascii="仿宋_GB2312" w:hAnsi="仿宋_GB2312" w:cs="仿宋_GB2312" w:eastAsia="仿宋_GB2312"/>
                      <w:sz w:val="19"/>
                    </w:rPr>
                    <w:t>人）；</w:t>
                  </w:r>
                  <w:r>
                    <w:rPr>
                      <w:rFonts w:ascii="仿宋_GB2312" w:hAnsi="仿宋_GB2312" w:cs="仿宋_GB2312" w:eastAsia="仿宋_GB2312"/>
                      <w:sz w:val="19"/>
                    </w:rPr>
                    <w:t>培训场地</w:t>
                  </w:r>
                  <w:r>
                    <w:rPr>
                      <w:rFonts w:ascii="仿宋_GB2312" w:hAnsi="仿宋_GB2312" w:cs="仿宋_GB2312" w:eastAsia="仿宋_GB2312"/>
                      <w:sz w:val="19"/>
                    </w:rPr>
                    <w:t>要配备满足需要的音响设备，多媒体演示设备（笔记本电脑、投影仪、</w:t>
                  </w:r>
                  <w:r>
                    <w:rPr>
                      <w:rFonts w:ascii="仿宋_GB2312" w:hAnsi="仿宋_GB2312" w:cs="仿宋_GB2312" w:eastAsia="仿宋_GB2312"/>
                      <w:sz w:val="19"/>
                    </w:rPr>
                    <w:t>LED</w:t>
                  </w:r>
                  <w:r>
                    <w:rPr>
                      <w:rFonts w:ascii="仿宋_GB2312" w:hAnsi="仿宋_GB2312" w:cs="仿宋_GB2312" w:eastAsia="仿宋_GB2312"/>
                      <w:sz w:val="19"/>
                    </w:rPr>
                    <w:t>演示屏、话筒等）。</w:t>
                  </w:r>
                </w:p>
                <w:p>
                  <w:pPr>
                    <w:pStyle w:val="null3"/>
                    <w:ind w:firstLine="480"/>
                    <w:jc w:val="both"/>
                  </w:pPr>
                  <w:r>
                    <w:rPr>
                      <w:rFonts w:ascii="仿宋_GB2312" w:hAnsi="仿宋_GB2312" w:cs="仿宋_GB2312" w:eastAsia="仿宋_GB2312"/>
                      <w:sz w:val="19"/>
                    </w:rPr>
                    <w:t>2.</w:t>
                  </w:r>
                  <w:r>
                    <w:rPr>
                      <w:rFonts w:ascii="仿宋_GB2312" w:hAnsi="仿宋_GB2312" w:cs="仿宋_GB2312" w:eastAsia="仿宋_GB2312"/>
                      <w:sz w:val="19"/>
                    </w:rPr>
                    <w:t>负责保障培训期间的全天食宿（含报到当天简餐）。</w:t>
                  </w:r>
                </w:p>
                <w:p>
                  <w:pPr>
                    <w:pStyle w:val="null3"/>
                    <w:ind w:firstLine="480"/>
                    <w:jc w:val="both"/>
                  </w:pPr>
                  <w:r>
                    <w:rPr>
                      <w:rFonts w:ascii="仿宋_GB2312" w:hAnsi="仿宋_GB2312" w:cs="仿宋_GB2312" w:eastAsia="仿宋_GB2312"/>
                      <w:sz w:val="19"/>
                    </w:rPr>
                    <w:t>住宿要求：酒店客房数量要能至少满足一次性入住</w:t>
                  </w:r>
                  <w:r>
                    <w:rPr>
                      <w:rFonts w:ascii="仿宋_GB2312" w:hAnsi="仿宋_GB2312" w:cs="仿宋_GB2312" w:eastAsia="仿宋_GB2312"/>
                      <w:sz w:val="19"/>
                    </w:rPr>
                    <w:t>200</w:t>
                  </w:r>
                  <w:r>
                    <w:rPr>
                      <w:rFonts w:ascii="仿宋_GB2312" w:hAnsi="仿宋_GB2312" w:cs="仿宋_GB2312" w:eastAsia="仿宋_GB2312"/>
                      <w:sz w:val="19"/>
                    </w:rPr>
                    <w:t>人以上的人员的接待能力，房间宽敞、明亮，房内有独立卫浴且</w:t>
                  </w:r>
                  <w:r>
                    <w:rPr>
                      <w:rFonts w:ascii="仿宋_GB2312" w:hAnsi="仿宋_GB2312" w:cs="仿宋_GB2312" w:eastAsia="仿宋_GB2312"/>
                      <w:sz w:val="19"/>
                    </w:rPr>
                    <w:t>24</w:t>
                  </w:r>
                  <w:r>
                    <w:rPr>
                      <w:rFonts w:ascii="仿宋_GB2312" w:hAnsi="仿宋_GB2312" w:cs="仿宋_GB2312" w:eastAsia="仿宋_GB2312"/>
                      <w:sz w:val="19"/>
                    </w:rPr>
                    <w:t>小时供应热水，电视、电话、空调等设备正常运行，包括相关客房服务，房间含早餐。餐厅要求：</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20"/>
                    </w:rPr>
                    <w:t>餐厅必须具备</w:t>
                  </w:r>
                  <w:r>
                    <w:rPr>
                      <w:rFonts w:ascii="仿宋_GB2312" w:hAnsi="仿宋_GB2312" w:cs="仿宋_GB2312" w:eastAsia="仿宋_GB2312"/>
                      <w:sz w:val="19"/>
                    </w:rPr>
                    <w:t>食品经营许可证（或相关部门备案），</w:t>
                  </w:r>
                  <w:r>
                    <w:rPr>
                      <w:rFonts w:ascii="仿宋_GB2312" w:hAnsi="仿宋_GB2312" w:cs="仿宋_GB2312" w:eastAsia="仿宋_GB2312"/>
                      <w:sz w:val="19"/>
                    </w:rPr>
                    <w:t>同时</w:t>
                  </w:r>
                  <w:r>
                    <w:rPr>
                      <w:rFonts w:ascii="仿宋_GB2312" w:hAnsi="仿宋_GB2312" w:cs="仿宋_GB2312" w:eastAsia="仿宋_GB2312"/>
                      <w:sz w:val="20"/>
                    </w:rPr>
                    <w:t>供应商须出具卫生承诺书（承诺餐厅卫生须符合国家卫生相关要求），须在投标文件中附</w:t>
                  </w:r>
                  <w:r>
                    <w:rPr>
                      <w:rFonts w:ascii="仿宋_GB2312" w:hAnsi="仿宋_GB2312" w:cs="仿宋_GB2312" w:eastAsia="仿宋_GB2312"/>
                      <w:sz w:val="20"/>
                    </w:rPr>
                    <w:t>食品经营许可证复印件和</w:t>
                  </w:r>
                  <w:r>
                    <w:rPr>
                      <w:rFonts w:ascii="仿宋_GB2312" w:hAnsi="仿宋_GB2312" w:cs="仿宋_GB2312" w:eastAsia="仿宋_GB2312"/>
                      <w:sz w:val="20"/>
                    </w:rPr>
                    <w:t>卫生承诺书，如不提供则将视其投标无效</w:t>
                  </w:r>
                  <w:r>
                    <w:rPr>
                      <w:rFonts w:ascii="仿宋_GB2312" w:hAnsi="仿宋_GB2312" w:cs="仿宋_GB2312" w:eastAsia="仿宋_GB2312"/>
                      <w:sz w:val="20"/>
                    </w:rPr>
                    <w:t>。</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拥有至少能接待</w:t>
                  </w:r>
                  <w:r>
                    <w:rPr>
                      <w:rFonts w:ascii="仿宋_GB2312" w:hAnsi="仿宋_GB2312" w:cs="仿宋_GB2312" w:eastAsia="仿宋_GB2312"/>
                      <w:sz w:val="19"/>
                    </w:rPr>
                    <w:t>200</w:t>
                  </w:r>
                  <w:r>
                    <w:rPr>
                      <w:rFonts w:ascii="仿宋_GB2312" w:hAnsi="仿宋_GB2312" w:cs="仿宋_GB2312" w:eastAsia="仿宋_GB2312"/>
                      <w:sz w:val="19"/>
                    </w:rPr>
                    <w:t>人同时就餐的供餐环境。</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）就餐方式为自助餐或者桌餐，菜品不</w:t>
                  </w:r>
                  <w:r>
                    <w:rPr>
                      <w:rFonts w:ascii="仿宋_GB2312" w:hAnsi="仿宋_GB2312" w:cs="仿宋_GB2312" w:eastAsia="仿宋_GB2312"/>
                      <w:sz w:val="19"/>
                    </w:rPr>
                    <w:t>低于</w:t>
                  </w:r>
                  <w:r>
                    <w:rPr>
                      <w:rFonts w:ascii="仿宋_GB2312" w:hAnsi="仿宋_GB2312" w:cs="仿宋_GB2312" w:eastAsia="仿宋_GB2312"/>
                      <w:sz w:val="19"/>
                    </w:rPr>
                    <w:t>10</w:t>
                  </w:r>
                  <w:r>
                    <w:rPr>
                      <w:rFonts w:ascii="仿宋_GB2312" w:hAnsi="仿宋_GB2312" w:cs="仿宋_GB2312" w:eastAsia="仿宋_GB2312"/>
                      <w:sz w:val="19"/>
                    </w:rPr>
                    <w:t>菜（</w:t>
                  </w:r>
                  <w:r>
                    <w:rPr>
                      <w:rFonts w:ascii="仿宋_GB2312" w:hAnsi="仿宋_GB2312" w:cs="仿宋_GB2312" w:eastAsia="仿宋_GB2312"/>
                      <w:sz w:val="19"/>
                    </w:rPr>
                    <w:t>6</w:t>
                  </w:r>
                  <w:r>
                    <w:rPr>
                      <w:rFonts w:ascii="仿宋_GB2312" w:hAnsi="仿宋_GB2312" w:cs="仿宋_GB2312" w:eastAsia="仿宋_GB2312"/>
                      <w:sz w:val="19"/>
                    </w:rPr>
                    <w:t>荤、</w:t>
                  </w:r>
                  <w:r>
                    <w:rPr>
                      <w:rFonts w:ascii="仿宋_GB2312" w:hAnsi="仿宋_GB2312" w:cs="仿宋_GB2312" w:eastAsia="仿宋_GB2312"/>
                      <w:sz w:val="19"/>
                    </w:rPr>
                    <w:t>4</w:t>
                  </w:r>
                  <w:r>
                    <w:rPr>
                      <w:rFonts w:ascii="仿宋_GB2312" w:hAnsi="仿宋_GB2312" w:cs="仿宋_GB2312" w:eastAsia="仿宋_GB2312"/>
                      <w:sz w:val="19"/>
                    </w:rPr>
                    <w:t>素）、</w:t>
                  </w:r>
                  <w:r>
                    <w:rPr>
                      <w:rFonts w:ascii="仿宋_GB2312" w:hAnsi="仿宋_GB2312" w:cs="仿宋_GB2312" w:eastAsia="仿宋_GB2312"/>
                      <w:sz w:val="19"/>
                    </w:rPr>
                    <w:t>1</w:t>
                  </w:r>
                  <w:r>
                    <w:rPr>
                      <w:rFonts w:ascii="仿宋_GB2312" w:hAnsi="仿宋_GB2312" w:cs="仿宋_GB2312" w:eastAsia="仿宋_GB2312"/>
                      <w:sz w:val="19"/>
                    </w:rPr>
                    <w:t>汤、</w:t>
                  </w:r>
                  <w:r>
                    <w:rPr>
                      <w:rFonts w:ascii="仿宋_GB2312" w:hAnsi="仿宋_GB2312" w:cs="仿宋_GB2312" w:eastAsia="仿宋_GB2312"/>
                      <w:sz w:val="19"/>
                    </w:rPr>
                    <w:t>1</w:t>
                  </w:r>
                  <w:r>
                    <w:rPr>
                      <w:rFonts w:ascii="仿宋_GB2312" w:hAnsi="仿宋_GB2312" w:cs="仿宋_GB2312" w:eastAsia="仿宋_GB2312"/>
                      <w:sz w:val="19"/>
                    </w:rPr>
                    <w:t>点心。（</w:t>
                  </w:r>
                  <w:r>
                    <w:rPr>
                      <w:rFonts w:ascii="仿宋_GB2312" w:hAnsi="仿宋_GB2312" w:cs="仿宋_GB2312" w:eastAsia="仿宋_GB2312"/>
                      <w:sz w:val="19"/>
                    </w:rPr>
                    <w:t>4</w:t>
                  </w:r>
                  <w:r>
                    <w:rPr>
                      <w:rFonts w:ascii="仿宋_GB2312" w:hAnsi="仿宋_GB2312" w:cs="仿宋_GB2312" w:eastAsia="仿宋_GB2312"/>
                      <w:sz w:val="19"/>
                    </w:rPr>
                    <w:t>）培训期间供应茶歇。</w:t>
                  </w:r>
                </w:p>
                <w:p>
                  <w:pPr>
                    <w:pStyle w:val="null3"/>
                    <w:ind w:firstLine="480"/>
                    <w:jc w:val="both"/>
                  </w:pPr>
                  <w:r>
                    <w:rPr>
                      <w:rFonts w:ascii="仿宋_GB2312" w:hAnsi="仿宋_GB2312" w:cs="仿宋_GB2312" w:eastAsia="仿宋_GB2312"/>
                      <w:sz w:val="19"/>
                    </w:rPr>
                    <w:t>3.</w:t>
                  </w:r>
                  <w:r>
                    <w:rPr>
                      <w:rFonts w:ascii="仿宋_GB2312" w:hAnsi="仿宋_GB2312" w:cs="仿宋_GB2312" w:eastAsia="仿宋_GB2312"/>
                      <w:sz w:val="19"/>
                    </w:rPr>
                    <w:t>负责现场教学场地联系、现场讲解、外出就餐、外出参观车辆（需为合法营运车辆）等保障。</w:t>
                  </w:r>
                </w:p>
                <w:p>
                  <w:pPr>
                    <w:pStyle w:val="null3"/>
                    <w:ind w:firstLine="480"/>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负责支付授课老师课时费以及其他与培训相关费用。</w:t>
                  </w:r>
                </w:p>
                <w:p>
                  <w:pPr>
                    <w:pStyle w:val="null3"/>
                    <w:ind w:firstLine="480"/>
                    <w:jc w:val="both"/>
                  </w:pPr>
                  <w:r>
                    <w:rPr>
                      <w:rFonts w:ascii="仿宋_GB2312" w:hAnsi="仿宋_GB2312" w:cs="仿宋_GB2312" w:eastAsia="仿宋_GB2312"/>
                      <w:sz w:val="19"/>
                    </w:rPr>
                    <w:t>（四）其他服务要求</w:t>
                  </w:r>
                </w:p>
                <w:p>
                  <w:pPr>
                    <w:pStyle w:val="null3"/>
                    <w:ind w:firstLine="480"/>
                    <w:jc w:val="both"/>
                  </w:pPr>
                  <w:r>
                    <w:rPr>
                      <w:rFonts w:ascii="仿宋_GB2312" w:hAnsi="仿宋_GB2312" w:cs="仿宋_GB2312" w:eastAsia="仿宋_GB2312"/>
                      <w:sz w:val="19"/>
                    </w:rPr>
                    <w:t>1.</w:t>
                  </w:r>
                  <w:r>
                    <w:rPr>
                      <w:rFonts w:ascii="仿宋_GB2312" w:hAnsi="仿宋_GB2312" w:cs="仿宋_GB2312" w:eastAsia="仿宋_GB2312"/>
                      <w:sz w:val="19"/>
                    </w:rPr>
                    <w:t>供应商无正当理由不得拒绝培训服务；不得超过中标单价收取费用或采取减少服务项目等降低服务质量；不得提供虚假发票；不得不按规定提供发票、费用原始明细单据、电子结算单等凭证；不得不配合、甚至干扰阻挠采购人正常核查工作。</w:t>
                  </w:r>
                </w:p>
                <w:p>
                  <w:pPr>
                    <w:pStyle w:val="null3"/>
                    <w:ind w:firstLine="480"/>
                    <w:jc w:val="both"/>
                  </w:pPr>
                  <w:r>
                    <w:rPr>
                      <w:rFonts w:ascii="仿宋_GB2312" w:hAnsi="仿宋_GB2312" w:cs="仿宋_GB2312" w:eastAsia="仿宋_GB2312"/>
                      <w:sz w:val="19"/>
                    </w:rPr>
                    <w:t>2.</w:t>
                  </w:r>
                  <w:r>
                    <w:rPr>
                      <w:rFonts w:ascii="仿宋_GB2312" w:hAnsi="仿宋_GB2312" w:cs="仿宋_GB2312" w:eastAsia="仿宋_GB2312"/>
                      <w:sz w:val="19"/>
                    </w:rPr>
                    <w:t>供应商提供的场地以及服务质量均符合培训要求，能够圆满完成各项培训工作任务；各项培训活动的组织管理规范，保障到位。</w:t>
                  </w:r>
                </w:p>
                <w:p>
                  <w:pPr>
                    <w:pStyle w:val="null3"/>
                    <w:ind w:firstLine="480"/>
                    <w:jc w:val="both"/>
                  </w:pPr>
                  <w:r>
                    <w:rPr>
                      <w:rFonts w:ascii="仿宋_GB2312" w:hAnsi="仿宋_GB2312" w:cs="仿宋_GB2312" w:eastAsia="仿宋_GB2312"/>
                      <w:sz w:val="19"/>
                    </w:rPr>
                    <w:t>3.</w:t>
                  </w:r>
                  <w:r>
                    <w:rPr>
                      <w:rFonts w:ascii="仿宋_GB2312" w:hAnsi="仿宋_GB2312" w:cs="仿宋_GB2312" w:eastAsia="仿宋_GB2312"/>
                      <w:sz w:val="19"/>
                    </w:rPr>
                    <w:t>供应商要</w:t>
                  </w:r>
                  <w:r>
                    <w:rPr>
                      <w:rFonts w:ascii="仿宋_GB2312" w:hAnsi="仿宋_GB2312" w:cs="仿宋_GB2312" w:eastAsia="仿宋_GB2312"/>
                      <w:sz w:val="19"/>
                    </w:rPr>
                    <w:t>做好人员保密</w:t>
                  </w:r>
                  <w:r>
                    <w:rPr>
                      <w:rFonts w:ascii="仿宋_GB2312" w:hAnsi="仿宋_GB2312" w:cs="仿宋_GB2312" w:eastAsia="仿宋_GB2312"/>
                      <w:sz w:val="19"/>
                    </w:rPr>
                    <w:t>教育工作</w:t>
                  </w:r>
                  <w:r>
                    <w:rPr>
                      <w:rFonts w:ascii="仿宋_GB2312" w:hAnsi="仿宋_GB2312" w:cs="仿宋_GB2312" w:eastAsia="仿宋_GB2312"/>
                      <w:sz w:val="19"/>
                    </w:rPr>
                    <w:t>，确保</w:t>
                  </w:r>
                  <w:r>
                    <w:rPr>
                      <w:rFonts w:ascii="仿宋_GB2312" w:hAnsi="仿宋_GB2312" w:cs="仿宋_GB2312" w:eastAsia="仿宋_GB2312"/>
                      <w:sz w:val="19"/>
                    </w:rPr>
                    <w:t>参训学员要</w:t>
                  </w:r>
                  <w:r>
                    <w:rPr>
                      <w:rFonts w:ascii="仿宋_GB2312" w:hAnsi="仿宋_GB2312" w:cs="仿宋_GB2312" w:eastAsia="仿宋_GB2312"/>
                      <w:sz w:val="19"/>
                    </w:rPr>
                    <w:t>严格执行保密规定，严禁泄露任何涉及保密的信息和资料</w:t>
                  </w:r>
                  <w:r>
                    <w:rPr>
                      <w:rFonts w:ascii="仿宋_GB2312" w:hAnsi="仿宋_GB2312" w:cs="仿宋_GB2312" w:eastAsia="仿宋_GB2312"/>
                      <w:sz w:val="19"/>
                    </w:rPr>
                    <w:t>；要做好培训活动的安全工作，确保人身、交通、财产、食品、消防等安全。</w:t>
                  </w:r>
                </w:p>
                <w:p>
                  <w:pPr>
                    <w:pStyle w:val="null3"/>
                    <w:ind w:firstLine="480"/>
                    <w:jc w:val="both"/>
                  </w:pPr>
                  <w:r>
                    <w:rPr>
                      <w:rFonts w:ascii="仿宋_GB2312" w:hAnsi="仿宋_GB2312" w:cs="仿宋_GB2312" w:eastAsia="仿宋_GB2312"/>
                      <w:sz w:val="19"/>
                    </w:rPr>
                    <w:t>4.</w:t>
                  </w:r>
                  <w:r>
                    <w:rPr>
                      <w:rFonts w:ascii="仿宋_GB2312" w:hAnsi="仿宋_GB2312" w:cs="仿宋_GB2312" w:eastAsia="仿宋_GB2312"/>
                      <w:sz w:val="19"/>
                    </w:rPr>
                    <w:t>供应商应保证采购人获得优先服务的权利，积极主动与采购人配合，按招标文件承诺的标准和质量为采购人提供服务；并在不超过承诺的期限内完成培训工作。</w:t>
                  </w:r>
                </w:p>
                <w:p>
                  <w:pPr>
                    <w:pStyle w:val="null3"/>
                    <w:ind w:firstLine="480"/>
                    <w:jc w:val="both"/>
                  </w:pPr>
                  <w:r>
                    <w:rPr>
                      <w:rFonts w:ascii="仿宋_GB2312" w:hAnsi="仿宋_GB2312" w:cs="仿宋_GB2312" w:eastAsia="仿宋_GB2312"/>
                      <w:sz w:val="19"/>
                    </w:rPr>
                    <w:t>5.</w:t>
                  </w:r>
                  <w:r>
                    <w:rPr>
                      <w:rFonts w:ascii="仿宋_GB2312" w:hAnsi="仿宋_GB2312" w:cs="仿宋_GB2312" w:eastAsia="仿宋_GB2312"/>
                      <w:sz w:val="19"/>
                    </w:rPr>
                    <w:t>供应商应设有固定联系电话及联系人，及时响应采购人的各项要求，并按采购人要求免费提供上门服</w:t>
                  </w:r>
                  <w:r>
                    <w:rPr>
                      <w:rFonts w:ascii="仿宋_GB2312" w:hAnsi="仿宋_GB2312" w:cs="仿宋_GB2312" w:eastAsia="仿宋_GB2312"/>
                      <w:sz w:val="19"/>
                    </w:rPr>
                    <w:t>务。</w:t>
                  </w:r>
                </w:p>
                <w:p>
                  <w:pPr>
                    <w:pStyle w:val="null3"/>
                    <w:ind w:firstLine="480"/>
                    <w:jc w:val="both"/>
                  </w:pPr>
                  <w:r>
                    <w:rPr>
                      <w:rFonts w:ascii="仿宋_GB2312" w:hAnsi="仿宋_GB2312" w:cs="仿宋_GB2312" w:eastAsia="仿宋_GB2312"/>
                      <w:sz w:val="19"/>
                    </w:rPr>
                    <w:t>6.</w:t>
                  </w:r>
                  <w:r>
                    <w:rPr>
                      <w:rFonts w:ascii="仿宋_GB2312" w:hAnsi="仿宋_GB2312" w:cs="仿宋_GB2312" w:eastAsia="仿宋_GB2312"/>
                      <w:sz w:val="19"/>
                    </w:rPr>
                    <w:t>供应商</w:t>
                  </w:r>
                  <w:r>
                    <w:rPr>
                      <w:rFonts w:ascii="仿宋_GB2312" w:hAnsi="仿宋_GB2312" w:cs="仿宋_GB2312" w:eastAsia="仿宋_GB2312"/>
                      <w:sz w:val="19"/>
                    </w:rPr>
                    <w:t>在接待住宿</w:t>
                  </w:r>
                  <w:r>
                    <w:rPr>
                      <w:rFonts w:ascii="仿宋_GB2312" w:hAnsi="仿宋_GB2312" w:cs="仿宋_GB2312" w:eastAsia="仿宋_GB2312"/>
                      <w:sz w:val="19"/>
                    </w:rPr>
                    <w:t>人员</w:t>
                  </w:r>
                  <w:r>
                    <w:rPr>
                      <w:rFonts w:ascii="仿宋_GB2312" w:hAnsi="仿宋_GB2312" w:cs="仿宋_GB2312" w:eastAsia="仿宋_GB2312"/>
                      <w:sz w:val="19"/>
                    </w:rPr>
                    <w:t>时，必</w:t>
                  </w:r>
                  <w:r>
                    <w:rPr>
                      <w:rFonts w:ascii="仿宋_GB2312" w:hAnsi="仿宋_GB2312" w:cs="仿宋_GB2312" w:eastAsia="仿宋_GB2312"/>
                      <w:sz w:val="19"/>
                    </w:rPr>
                    <w:t>须做到实名登记</w:t>
                  </w:r>
                  <w:r>
                    <w:rPr>
                      <w:rFonts w:ascii="仿宋_GB2312" w:hAnsi="仿宋_GB2312" w:cs="仿宋_GB2312" w:eastAsia="仿宋_GB2312"/>
                      <w:sz w:val="19"/>
                    </w:rPr>
                    <w:t>；</w:t>
                  </w:r>
                  <w:r>
                    <w:rPr>
                      <w:rFonts w:ascii="仿宋_GB2312" w:hAnsi="仿宋_GB2312" w:cs="仿宋_GB2312" w:eastAsia="仿宋_GB2312"/>
                      <w:sz w:val="19"/>
                    </w:rPr>
                    <w:t>在提供培训服务时，须如实向采购人提供有关信息，具体包括：会场名称、</w:t>
                  </w:r>
                  <w:r>
                    <w:rPr>
                      <w:rFonts w:ascii="仿宋_GB2312" w:hAnsi="仿宋_GB2312" w:cs="仿宋_GB2312" w:eastAsia="仿宋_GB2312"/>
                      <w:sz w:val="19"/>
                    </w:rPr>
                    <w:t>培训人数、</w:t>
                  </w:r>
                  <w:r>
                    <w:rPr>
                      <w:rFonts w:ascii="仿宋_GB2312" w:hAnsi="仿宋_GB2312" w:cs="仿宋_GB2312" w:eastAsia="仿宋_GB2312"/>
                      <w:sz w:val="19"/>
                    </w:rPr>
                    <w:t>培训时间、配套服务等</w:t>
                  </w:r>
                  <w:r>
                    <w:rPr>
                      <w:rFonts w:ascii="仿宋_GB2312" w:hAnsi="仿宋_GB2312" w:cs="仿宋_GB2312" w:eastAsia="仿宋_GB2312"/>
                      <w:sz w:val="19"/>
                    </w:rPr>
                    <w:t>；</w:t>
                  </w:r>
                  <w:r>
                    <w:rPr>
                      <w:rFonts w:ascii="仿宋_GB2312" w:hAnsi="仿宋_GB2312" w:cs="仿宋_GB2312" w:eastAsia="仿宋_GB2312"/>
                      <w:sz w:val="19"/>
                    </w:rPr>
                    <w:t>在提供餐饮服务时，须按相应价格合理配置菜单，并将用餐安排、菜单提前与采购人沟通、接受采购人协商调整。</w:t>
                  </w:r>
                </w:p>
                <w:p>
                  <w:pPr>
                    <w:pStyle w:val="null3"/>
                    <w:ind w:firstLine="480"/>
                    <w:jc w:val="both"/>
                  </w:pPr>
                  <w:r>
                    <w:rPr>
                      <w:rFonts w:ascii="仿宋_GB2312" w:hAnsi="仿宋_GB2312" w:cs="仿宋_GB2312" w:eastAsia="仿宋_GB2312"/>
                      <w:sz w:val="19"/>
                    </w:rPr>
                    <w:t>7.</w:t>
                  </w:r>
                  <w:r>
                    <w:rPr>
                      <w:rFonts w:ascii="仿宋_GB2312" w:hAnsi="仿宋_GB2312" w:cs="仿宋_GB2312" w:eastAsia="仿宋_GB2312"/>
                      <w:sz w:val="19"/>
                    </w:rPr>
                    <w:t>供应商要接受监督检查，对采购人提出的有关意见及时进行整改。</w:t>
                  </w:r>
                </w:p>
                <w:p>
                  <w:pPr>
                    <w:pStyle w:val="null3"/>
                    <w:ind w:firstLine="480"/>
                    <w:jc w:val="both"/>
                  </w:pPr>
                  <w:r>
                    <w:rPr>
                      <w:rFonts w:ascii="仿宋_GB2312" w:hAnsi="仿宋_GB2312" w:cs="仿宋_GB2312" w:eastAsia="仿宋_GB2312"/>
                      <w:sz w:val="19"/>
                    </w:rPr>
                    <w:t>8.</w:t>
                  </w:r>
                  <w:r>
                    <w:rPr>
                      <w:rFonts w:ascii="仿宋_GB2312" w:hAnsi="仿宋_GB2312" w:cs="仿宋_GB2312" w:eastAsia="仿宋_GB2312"/>
                      <w:sz w:val="19"/>
                    </w:rPr>
                    <w:t>供应商</w:t>
                  </w:r>
                  <w:r>
                    <w:rPr>
                      <w:rFonts w:ascii="仿宋_GB2312" w:hAnsi="仿宋_GB2312" w:cs="仿宋_GB2312" w:eastAsia="仿宋_GB2312"/>
                      <w:sz w:val="19"/>
                    </w:rPr>
                    <w:t>对特殊事件及</w:t>
                  </w:r>
                  <w:r>
                    <w:rPr>
                      <w:rFonts w:ascii="仿宋_GB2312" w:hAnsi="仿宋_GB2312" w:cs="仿宋_GB2312" w:eastAsia="仿宋_GB2312"/>
                      <w:sz w:val="19"/>
                    </w:rPr>
                    <w:t>交通、食品、消防、安全等</w:t>
                  </w:r>
                  <w:r>
                    <w:rPr>
                      <w:rFonts w:ascii="仿宋_GB2312" w:hAnsi="仿宋_GB2312" w:cs="仿宋_GB2312" w:eastAsia="仿宋_GB2312"/>
                      <w:sz w:val="19"/>
                    </w:rPr>
                    <w:t>突发状况，</w:t>
                  </w:r>
                  <w:r>
                    <w:rPr>
                      <w:rFonts w:ascii="仿宋_GB2312" w:hAnsi="仿宋_GB2312" w:cs="仿宋_GB2312" w:eastAsia="仿宋_GB2312"/>
                      <w:sz w:val="19"/>
                    </w:rPr>
                    <w:t>要</w:t>
                  </w:r>
                  <w:r>
                    <w:rPr>
                      <w:rFonts w:ascii="仿宋_GB2312" w:hAnsi="仿宋_GB2312" w:cs="仿宋_GB2312" w:eastAsia="仿宋_GB2312"/>
                      <w:sz w:val="19"/>
                    </w:rPr>
                    <w:t>制定相应的保障措施和应急预案。</w:t>
                  </w:r>
                </w:p>
              </w:tc>
            </w:tr>
          </w:tbl>
          <w:p>
            <w:pPr>
              <w:pStyle w:val="null3"/>
              <w:jc w:val="both"/>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培训班的人员配置需根据培训规模、内容、对象及形式灵活调整。 1.核心管理团队 培训负责人（1名）：统筹全局，制定计划、协调资源，监督进度；需具备项目管理经验和行业知识。 班主任/教务管理员（2名及以上）：负责学员签到、课程安排、资料分发、日常沟通等；需细心、耐心，熟悉后勤流程。 2.教学团队（若干名） 授课老师（根据课程需求）：高校的专家教授或行业内的业务骨干，负责课程设计与授课；拥有扎实的专业知识基础，精通所教授的专业领域，具有丰富的实际工作经验，能够将理论与实践相结合。 3.技术支持团队（线上/线下结合培训必备） IT支持（1-2名）：维护直播平台、音响设备、多媒体演示设备、网络保障等，解决突发的技术故障；需熟悉常用培训软件（如腾讯会议等）。 4.后勤保障团队 会务组（1-3名）：场地布置、物资采购、餐饮协调、交通安排等。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设备设施配置需根据培训目标、内容、形式及学员规模进行科学规划，确保培训的专业性、互动性和实效性。 一、基础场地配置要求 1.主培训教室或多功能报告厅 容量：容纳人数与课桌布局匹配，至少可容纳200人以上。 设备：多媒体演示设备（笔记本电脑、投影仪、LED演示屏、话筒等）、专业音响系统、空调等。 2.分组讨论室 数量：按学员总数每20-30人配置1间，以此类推。 设施：智能白板、无线投屏设备。 二、后勤与安全保障配置 1.生活设施 住宿：酒店客房数量要具有至少满足一次性入住200人以上的人员的接待能力，可提供单人间/双人间，房间宽敞、明亮，房内有独立卫浴且24小时供应热水，电视、电话、空调等设备正常运行。 餐饮：★（1）餐厅必须具备食品经营许可证（或相关部门备案），同时供应商须出具卫生承诺书（承诺餐厅卫生须符合国家卫生相关要求），须在投标文件中附食品经营许可证复印件和卫生承诺书，如不提供则将视其投标无效。 （2）拥有至少能接待200人同时就餐的供餐环境。 （3）就餐方式为自助餐或者桌餐，菜品不低于10菜（6荤、4素）、1汤、1点心，支持特殊饮食需求（如清真、素食）。 休息区：培训期间需供应茶歇。 2.安全与应急设备 消防：烟感报警器、灭火器、应急照明+疏散指示。 医疗：AED除颤仪、急救药箱（含常用药品）、就近医疗机构联络机制。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无正当理由不得拒绝培训服务；不得超过中标单价收取费用或采取减少服务项目等降低服务质量；不得提供虚假发票；不得不按规定提供发票、费用原始明细单据、电子结算单等凭证；不得不配合、甚至干扰阻挠采购人正常核查工作。 2.供应商提供的场地以及服务质量均符合培训要求，能够圆满完成各项培训工作任务；各项培训活动的组织管理规范，保障到位。 3.供应商要做好人员保密教育工作，确保参训学员要严格执行保密规定，严禁泄露任何涉及保密的信息和资料；要做好培训活动的安全工作，确保人身、交通、财产、食品、消防等安全。 4.供应商应保证采购人获得优先服务的权利，积极主动与采购人配合，按招标文件承诺的标准和质量为采购人提供服务；并在不超过承诺的期限内完成培训工作。 5.供应商应设有固定联系电话及联系人，及时响应采购人的各项要求，并按采购人要求免费提供上门服务。 6.供应商在接待住宿客人时，必须做到实名登记；在提供培训服务时，须如实向采购人提供有关信息，具体包括：会场名称、培训人数、培训时间、配套服务等；在提供餐饮服务时，须按相应价格合理配置菜单，并将用餐安排、菜单提前与采购人沟通、接受采购人协商调整。 7.供应商要接受监督检查，对采购人提出的有关意见及时进行整改。 8.供应商对特殊事件及交通、食品、消防、安全等突发状况，要制定相应的保障措施和应急预案。 9.本项目保证金按照投标人须知第9条，采购包2（40000.00元）缴纳。</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合同签订之日起至2025年12月31日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以西安市内的培训为主</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依据招标文件、投标文件、中标通知书、合同文件及国家相关规范及标准进行验收。乙方完成所有服务工作后，及时向甲方提交成果并通过甲方审批。 乙方完成所有培训内容后15日内由甲方组织评估验收。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个培训项目结束后7个工作日内，乙方须向甲方提供符合甲方要求的结算资料，经甲方核定后，由乙方开具发票及核定后的结算资料报甲方。甲方收到乙方上述凭证后，在7个工作日内向乙方支付第一个培训项目的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之后的每个培训项目结束后7个工作日内，乙方须向甲方提供符合甲方要求的结算资料，经甲方核定后，由乙方开具发票及核定后的结算资料报甲方。甲方收到乙方上述凭证后，在7个工作日内向乙方支付该期培训项目的费用 ，待剩余所有培训项目完成后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2.双方应严格履行本合同，任何一方违反本合同均应承担违约责任。 3.由于工作成果质量低劣未达到合同中约定的验收标准、由于乙方责任导致服务期延误或乙方有其他违反本合同条款行为的，甲方随时享有单方解除本合同的权利，并享有就由于上述原因造成甲方的全部损失（包括但不限于甲方在此之前支付的所有费用）向乙方要求赔偿的权利。 4.在本合同履行过程中，由于乙方原因导致服务无法进行的，由乙方承担由此为甲方造成的全部损失。 5.除非经甲方书面认可，乙方未能按期完成本合同项目的，则每逾期一天向甲方支付合同总款项1%的违约金。 6.乙方擅自将合同项目的全部或部分转让委托给第三方，甲方有权解除合同，乙方应立即返还所有甲方支付的费用，并支付违约金，违约金为合同总款项的10%。</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详见采购文件及采购合同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投标保证金缴纳截图.docx 投标函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经审计的财务报告（成立时间至递交投标文件截止时间不足一年的可提供成立后任意时段的资产负债表），或递交投标文件截止时间前六个月内基本账户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供应商应具有独立承担民事责任的能力的企业法人、事业法人、其他组织或自然人，出具合法有效的营业执照等相关证明文件，自然人参与的提供其身份证明；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时间前一年内至少一个月已缴纳的社会保障资金的证明（社会保障资金缴存单据或社保机构开具的社会保险参保缴费情况证明等）；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至少一个月的纳税证明或完税证明，纳税证明或完税证明上应有代收机构或税务机关的公章或业务专用章；其他组织和自然人提供投标文件截止时间前一年内至少一个月缴纳税收的凭据；依法免税的供应商应提供相关文件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2023年度经审计的财务报告（成立时间至递交投标文件截止时间不足一年的可提供成立后任意时段的资产负债表），或递交投标文件截止时间前六个月内基本账户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投标供应商参加政府采购活动前三年内在经营活动中没有重大违法记录的书面声明；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法定代表人（单位负责人）身份证明书或法定代表人（单位负责人）授权委托书</w:t>
            </w:r>
          </w:p>
        </w:tc>
        <w:tc>
          <w:tcPr>
            <w:tcW w:type="dxa" w:w="3322"/>
          </w:tcPr>
          <w:p>
            <w:pPr>
              <w:pStyle w:val="null3"/>
            </w:pPr>
            <w:r>
              <w:rPr>
                <w:rFonts w:ascii="仿宋_GB2312" w:hAnsi="仿宋_GB2312" w:cs="仿宋_GB2312" w:eastAsia="仿宋_GB2312"/>
              </w:rPr>
              <w:t>法定代表人（单位负责人）身份证明书或法定代表人（单位负责人）授权委托书：非法定代表人（单位负责人）参加投标的，须提供法定代表人（单位负责人）授权委托书及被授权人身份证；法定代表人（单位负责人）参加投标时，只须提供法定代表人（单位负责人）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信用查询记录</w:t>
            </w:r>
          </w:p>
        </w:tc>
        <w:tc>
          <w:tcPr>
            <w:tcW w:type="dxa" w:w="3322"/>
          </w:tcPr>
          <w:p>
            <w:pPr>
              <w:pStyle w:val="null3"/>
            </w:pPr>
            <w:r>
              <w:rPr>
                <w:rFonts w:ascii="仿宋_GB2312" w:hAnsi="仿宋_GB2312" w:cs="仿宋_GB2312" w:eastAsia="仿宋_GB2312"/>
              </w:rPr>
              <w:t>采购代理机构通过“信用中国”网站(www.creditchina.gov.cn)、中国政府采购网(www.ccgp.gov.cn) 等查询相关主体信用记录；查询时间节点为公告发布之日起至本项目进行资格审核时。对列入失信被执行人、重大税收违法案件当事人名单、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由投标供应商自行出具具备履行合同所必需的设备和专业技术能力的承诺书；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是否联合体投标</w:t>
            </w:r>
          </w:p>
        </w:tc>
        <w:tc>
          <w:tcPr>
            <w:tcW w:type="dxa" w:w="3322"/>
          </w:tcPr>
          <w:p>
            <w:pPr>
              <w:pStyle w:val="null3"/>
            </w:pPr>
            <w:r>
              <w:rPr>
                <w:rFonts w:ascii="仿宋_GB2312" w:hAnsi="仿宋_GB2312" w:cs="仿宋_GB2312" w:eastAsia="仿宋_GB2312"/>
              </w:rPr>
              <w:t>本项目不接受联合体投标，投标供应商自行出具非联合体投标声明。</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投标文件按照招标文件要求签署、盖章。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供应商的投标报价未超出采购预算或最高限价，投标单价未超出相应的单价最高上限价。 一、供应商的报价是供应商响应招标项目要求的全部工作内容的价格体现，包括供应商完成本项目所需的一切费用。 二、本项目报价内容为两类，一是培训费（除师资费外）单价（含税），指参训学员所发生的每人每天的费用，包含住宿费、伙食费、培训场地费、培训资料费、交通费、其他费用等。二是师资费单价（不含税），指授课教师所产生的每人每课时的讲课费用；授课老师讲课费个税按照《中华人民共和国个人所得税法》《中华人民共和国个人所得税法实施条例》由采购人向供应商另行据实结算和支付，授课老师城市间交通费、食宿按照陕西省财政厅中共陕西省委组织部陕西省公务员局《关于印发&lt;陕西省省级机关培训费管理办法&gt;的通知》（陕财办〔2017〕16号）规定由采购人向供应商另行据实结算和支付。 三、本项目报价分评审分为两部分： （1）第一部分为培训费（除师资费外）单价（含税）评审，各供应商应按照陕西省财政厅中共陕西省委组织部陕西省公务员局《关于印发&lt;陕西省省级机关培训费管理办法&gt;的通知》（陕财办〔2017〕16号）规定和自身能力进行报价，其单价最高上限价为人民币400元/天/人（含税）； （2）第二部分为各级师资费单价（不含税）的合价。各供应商应按照陕西省财政厅中共陕西省委组织部陕西省公务员局《关于印发&lt;陕西省省级机关培训费管理办法&gt;的通知》（陕财办〔2017〕16号）规定和自身能力进行报价，同时须将各级师资费单价在招标文件附表“分项报价表”中进行详细报价，单价类别须按表内所列为准，不得漏填或0报价），其中副高级技术职称专业人员每学时最高上限价不超过500元（不含税），正高级技术职称专业人员每学时最高上限价不超过1000元（不含税），院士、全国知名专家每学时最高上限价不超过1500元（不含税）。 四、供应商每种服务内容只允许有一个单价报价，包括培训费（除师资费外）单价和各项师资费单价，各项填报的单价在合同执行过程中是固定不变的，结算时按实际完成量据实结算，其中培训费（除师资费外）单价是含税价，各级师资费单价是不含税价，授课老师讲课费个税、城市间交通费、食宿由采购人向供应商另行据实结算和支付（所有结算总费用不得高于项目总预算）。任何有选择或可调整的报价将不予接受，并按无效投标处理。以上所有产生的费用均包含在本项目总费用中。 五、投标文件报价出现前后不一致的，按照招标文件第五章评标办法规定予以修正，修正后的报价经供应商通过项目电子化交易系统进行确认，并加盖供应商（法定名称）电子印章，供应商未在规定时间内确认的，其投标无效。 六、超过单价最高上限价的投标报价为无效报价，其投标按无效标处理，不进入下一步评审环节。</w:t>
            </w:r>
          </w:p>
        </w:tc>
        <w:tc>
          <w:tcPr>
            <w:tcW w:type="dxa" w:w="1661"/>
          </w:tcPr>
          <w:p>
            <w:pPr>
              <w:pStyle w:val="null3"/>
            </w:pPr>
            <w:r>
              <w:rPr>
                <w:rFonts w:ascii="仿宋_GB2312" w:hAnsi="仿宋_GB2312" w:cs="仿宋_GB2312" w:eastAsia="仿宋_GB2312"/>
              </w:rPr>
              <w:t>开标一览表 分项报价表（此表必须填写）.pdf 开标一览表（此表必须填写）.pdf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投标有效期符合招标文件要求的（提交投标文件的截止之日起不少于90天）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供应商的报价没有出现明显低于其他通过符合性审查供应商的报价，没有影响服务质量且能诚信履约，供应商能证明其报价合理性。</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投标保证金提交的金额、形式符合招标文件要求，提交时间必须在投标截止时间前，提交时间以代理公司账户到账时间为准。须将投标保证金缴纳截图附在投标文件中。</w:t>
            </w:r>
          </w:p>
        </w:tc>
        <w:tc>
          <w:tcPr>
            <w:tcW w:type="dxa" w:w="1661"/>
          </w:tcPr>
          <w:p>
            <w:pPr>
              <w:pStyle w:val="null3"/>
            </w:pPr>
            <w:r>
              <w:rPr>
                <w:rFonts w:ascii="仿宋_GB2312" w:hAnsi="仿宋_GB2312" w:cs="仿宋_GB2312" w:eastAsia="仿宋_GB2312"/>
              </w:rPr>
              <w:t>投标保证金缴纳截图.docx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投标内容未出现漏项或与要求不符，未造成采购档次降低或影响服务质量。</w:t>
            </w:r>
          </w:p>
        </w:tc>
        <w:tc>
          <w:tcPr>
            <w:tcW w:type="dxa" w:w="1661"/>
          </w:tcPr>
          <w:p>
            <w:pPr>
              <w:pStyle w:val="null3"/>
            </w:pPr>
            <w:r>
              <w:rPr>
                <w:rFonts w:ascii="仿宋_GB2312" w:hAnsi="仿宋_GB2312" w:cs="仿宋_GB2312" w:eastAsia="仿宋_GB2312"/>
              </w:rPr>
              <w:t>商务应答表.pdf 服务方案.pdf 业绩.pdf 服务内容及服务要求应答表.pdf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付款方式为实质性条款，供应商必须完全响应，不允许偏离，否则按照无效标处理。</w:t>
            </w:r>
          </w:p>
        </w:tc>
        <w:tc>
          <w:tcPr>
            <w:tcW w:type="dxa" w:w="1661"/>
          </w:tcPr>
          <w:p>
            <w:pPr>
              <w:pStyle w:val="null3"/>
            </w:pPr>
            <w:r>
              <w:rPr>
                <w:rFonts w:ascii="仿宋_GB2312" w:hAnsi="仿宋_GB2312" w:cs="仿宋_GB2312" w:eastAsia="仿宋_GB2312"/>
              </w:rPr>
              <w:t>商务应答表.pdf 服务内容及服务要求应答表.pdf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招标文件中特别标明或说明的内容为实质性要求，如不满足要求，则按无效标处理。</w:t>
            </w:r>
          </w:p>
        </w:tc>
        <w:tc>
          <w:tcPr>
            <w:tcW w:type="dxa" w:w="1661"/>
          </w:tcPr>
          <w:p>
            <w:pPr>
              <w:pStyle w:val="null3"/>
            </w:pPr>
            <w:r>
              <w:rPr>
                <w:rFonts w:ascii="仿宋_GB2312" w:hAnsi="仿宋_GB2312" w:cs="仿宋_GB2312" w:eastAsia="仿宋_GB2312"/>
              </w:rPr>
              <w:t>商务应答表.pdf 服务方案.pdf 业绩.pdf 资格证明文件.pdf 服务内容及服务要求应答表.pdf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不存在其它不符合法律法规或招标文件规定的投标无效条款。</w:t>
            </w:r>
          </w:p>
        </w:tc>
        <w:tc>
          <w:tcPr>
            <w:tcW w:type="dxa" w:w="1661"/>
          </w:tcPr>
          <w:p>
            <w:pPr>
              <w:pStyle w:val="null3"/>
            </w:pPr>
            <w:r>
              <w:rPr>
                <w:rFonts w:ascii="仿宋_GB2312" w:hAnsi="仿宋_GB2312" w:cs="仿宋_GB2312" w:eastAsia="仿宋_GB2312"/>
              </w:rPr>
              <w:t>其他材料.pdf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同类培训项目业绩</w:t>
            </w:r>
          </w:p>
        </w:tc>
        <w:tc>
          <w:tcPr>
            <w:tcW w:type="dxa" w:w="2492"/>
          </w:tcPr>
          <w:p>
            <w:pPr>
              <w:pStyle w:val="null3"/>
            </w:pPr>
            <w:r>
              <w:rPr>
                <w:rFonts w:ascii="仿宋_GB2312" w:hAnsi="仿宋_GB2312" w:cs="仿宋_GB2312" w:eastAsia="仿宋_GB2312"/>
              </w:rPr>
              <w:t>赋分标准（满分10分） 供应商在2022年1月1日起承担过同类培训项目业绩，每提供1个得2分，最高10分。 备注：提供培训服务合同复印件（需包含封面页、合同服务内容页、金额页、签章页）并加盖供应商公章，未按要求提供相关证明材料不得分。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拟投入本项目服务团队情况</w:t>
            </w:r>
          </w:p>
        </w:tc>
        <w:tc>
          <w:tcPr>
            <w:tcW w:type="dxa" w:w="2492"/>
          </w:tcPr>
          <w:p>
            <w:pPr>
              <w:pStyle w:val="null3"/>
            </w:pPr>
            <w:r>
              <w:rPr>
                <w:rFonts w:ascii="仿宋_GB2312" w:hAnsi="仿宋_GB2312" w:cs="仿宋_GB2312" w:eastAsia="仿宋_GB2312"/>
              </w:rPr>
              <w:t>赋分标准（满分10分） 1.项目负责人： 具有丰富的同类培训项目业绩负责或参与工作经验的，每提供一个业绩得1分，最高得5分。需提供合同复印件，合同须有参与者姓名，如合同中未有参与者姓名，可提供甲方说明或证明材料，无合同或参与者姓名的为无效合同。合同可以与供应商合同重复。 2.服务团队成员（除项目负责人外）：提供详细、可行、合理的岗位安排表（包括人员名单、工作经验、 工作岗位等信息） ①人员配置合理数量在5人及以上的得 5 分； ②人员配置合理数量在3-4人的得 3分； ③人员配置合理数量在2-3人的得 2 分； 其他不得分。 备注：提供以上人员的身份证以及2024年10月至今任意3个月的供应商为其缴纳的社会保险证明材料复印件（若为已退休返聘人员，可提供供应商的聘用合同，可不提供社保证明），并加盖供应商公章，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培训师资情况</w:t>
            </w:r>
          </w:p>
        </w:tc>
        <w:tc>
          <w:tcPr>
            <w:tcW w:type="dxa" w:w="2492"/>
          </w:tcPr>
          <w:p>
            <w:pPr>
              <w:pStyle w:val="null3"/>
            </w:pPr>
            <w:r>
              <w:rPr>
                <w:rFonts w:ascii="仿宋_GB2312" w:hAnsi="仿宋_GB2312" w:cs="仿宋_GB2312" w:eastAsia="仿宋_GB2312"/>
              </w:rPr>
              <w:t>赋分标准（满分15分） 要求具有聘用高水平培训师资的工作经验（同一人不累计）。最高15分。 1.聘用教授（正高级）人数：每提供1个得2分，最高得8分； 2.聘用副教授（副高级）人数：每提供1个得1分，最高得7分； 备注：①每个培训师必须附曾培训过的课程安排、薪资表等证明材料； ②提供培训师资名单信息（单位、职务、职称、联系方式等），聘书（协议书），职称证书复印件，并加盖供应商公章；以上①、②条不提供不得分。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场地及设施情况</w:t>
            </w:r>
          </w:p>
        </w:tc>
        <w:tc>
          <w:tcPr>
            <w:tcW w:type="dxa" w:w="2492"/>
          </w:tcPr>
          <w:p>
            <w:pPr>
              <w:pStyle w:val="null3"/>
            </w:pPr>
            <w:r>
              <w:rPr>
                <w:rFonts w:ascii="仿宋_GB2312" w:hAnsi="仿宋_GB2312" w:cs="仿宋_GB2312" w:eastAsia="仿宋_GB2312"/>
              </w:rPr>
              <w:t>一、评审标准 1、完整性：提供针对本项目拟使用的培训场所（包含但不限于培训场所、培训设备、多媒体设施、住宿环境、餐厅环境、取暖及降温设施、网络设备等），各项设施设备必须全面； 2、合理性：场地及设备设施的配备合理； 3、针对性：场地及设备设施针对本项目实际情况，满足要求； 二、赋分标准（满分12分） 每完全满足一个评审标准得4分，满分12分；这部分内容缺失则不得分，每有一处内容存在缺陷或不足的扣1分，该项分值扣完为止。 备注：1、如餐厅不具备或未在投标文件中提供食品经营许可证（或相关部门备案）复印件，或者供应商未出具卫生承诺书（承诺餐厅卫生须符合国家卫生相关要求），则按非实质响应招标文件处理，其投标按无效标处理； 2、设备设施内容存在缺陷或不足是指以下任意一种情况：设备设施的配置考虑不周；或不符合行业实际或国家法规、政策规定；或设备设施老化；或设备设施配备过于简陋；或存在与项目无关的文字内容；或内容不适用项目实际情况；或设施设备存在安全隐患。 3、以上提供资料必须真实有效，如若提供虚假材料一经发现取消投标资格。</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后勤保障措施</w:t>
            </w:r>
          </w:p>
        </w:tc>
        <w:tc>
          <w:tcPr>
            <w:tcW w:type="dxa" w:w="2492"/>
          </w:tcPr>
          <w:p>
            <w:pPr>
              <w:pStyle w:val="null3"/>
            </w:pPr>
            <w:r>
              <w:rPr>
                <w:rFonts w:ascii="仿宋_GB2312" w:hAnsi="仿宋_GB2312" w:cs="仿宋_GB2312" w:eastAsia="仿宋_GB2312"/>
              </w:rPr>
              <w:t>指学员食宿、交通、安全、卫生、消防等服务保障。 一、评审标准 1、完整性：措施必须全面，对评审内容有详细描述； 2、可实施性：切合本项目实际情况，提出步骤清晰、合理的措施； 3、针对性：措施能够紧扣项目实际情况，内容科学合理。 二、赋分标准（满分6分） 每完全满足一个评审标准得2分，满分6分；这部分内容缺失则不得分，每有一处内容存在缺陷或不足的扣1分，该项分值扣完为止。 备注：后勤保障措施存在缺陷或不足是指以下任意一种情况：保障措施不到位；或措施不符合行业实际或国家法规、政策；或保障措施与实际需求不配套，存在偏差；或保障措施过于简单；或存在与项目保障措施无关的内容；或保障措施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对项目的理解及熟悉程度</w:t>
            </w:r>
          </w:p>
        </w:tc>
        <w:tc>
          <w:tcPr>
            <w:tcW w:type="dxa" w:w="2492"/>
          </w:tcPr>
          <w:p>
            <w:pPr>
              <w:pStyle w:val="null3"/>
            </w:pPr>
            <w:r>
              <w:rPr>
                <w:rFonts w:ascii="仿宋_GB2312" w:hAnsi="仿宋_GB2312" w:cs="仿宋_GB2312" w:eastAsia="仿宋_GB2312"/>
              </w:rPr>
              <w:t>一、根据供应商提供的项目理解描述进行评审（6分）： （一）评审标准 1、完整性：分析必须全面，对整个项目有完整详细理解和描述； 2、合理性：理解切合本项目实际情况，提出具有充分合理性的理解内容； 3、针对性：对项目的理解要有足够的针对性，需要紧扣项目实际情况； （二）赋分标准（满分6分） 每完全满足一个评审标准得2分，满分6分；该分析缺内容则不得分，每有一处内容存在缺陷或不足的扣1分，该项分值扣完为止。 备注：内容存在缺陷或不足是指以下任意一种情况：理解内容不符合行业实际或国家法规、政策；或理解内容生搬硬造，与实际情况不符，存在偏差；或理解内容过于简略；或存在与项目无关的文字内容；或内容不适用项目实际情况；或逻辑漏洞或原理错误；或对项目背景和需求理解不透彻不深入。 二、重难点分析（6分） （一）评审标准 1、完整性：分析必须全面，对各项分析内容有详细描述； 2、合理性：切合本项目实际情况，提出具有充分合理性的分析结果和相应措施； 3、针对性：分析结果需要紧扣项目实际情况； （二）赋分标准（满分6分） 每完全满足一个评审标准得2分，满分6分；该分析缺内容则不得分，每有一处内容存在缺陷或不足的扣1分，该项分值扣完为止。 备注：内容存在缺陷或不足是指以下任意一种情况：分析内容不符合行业实际或国家法规、政策；或分析内容生搬硬造，与实际情况不符，存在偏差；或分析内容过于简略；或存在与项目无关的文字内容；或内容不适用项目实际情况；或分析逻辑漏洞或原理错误。</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根据本项目实际需求及特点，制定实施方案，实施方案内容包含①培训方案②接待方案③应急预案④保密方案⑤后勤保障方案。 二、评审标准 1、完整性：方案必须全面，对评审内容中的各项要求有详细描述； 2、可实施性：提出步骤清晰、合理、可实施性强的方案； 3、针对性：方案能够紧扣项目实际情况，内容科学合理； 三、赋分标准（满分15分） ①培训方案：每完全满足一个评审标准得1分，满分3分；该方案缺内容则不得分，每有一处内容存在缺陷或不足的扣1分，该项分值扣完为止。 ②接待方案：每完全满足一个评审标准得1分，满分3分；该方案缺内容则不得分，每有一处内容存在缺陷或不足的扣1分，该项分值扣完为止。 ③应急预案：每完全满足一个评审标准得1分，满分3分；该方案缺内容则不得分，每有一处内容存在缺陷或不足的扣1分，该项分值扣完为止。 ④保密方案：每完全满足一个评审标准得1分，满分3分；该方案缺内容则不得分，每有一处内容存在缺陷或不足的扣1分，该项分值扣完为止。 ⑤后勤保障方案：每完全满足一个评审标准得1分，满分3分；该方案缺内容则不得分，每有一处内容存在缺陷或不足的扣1分，该项分值扣完为止。 备注：方案内容存在缺陷或不足是指以下任意一种情况：方案内容不符合行业实际或国家法规、政策；或方案内容生搬硬造，与实际情况不符，存在偏差；或方案内容过于简略；或存在与项目无关的文字内容；或内容不适用项目实际情况；或内容逻辑漏洞或原理错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项目质量保证措施及管理制度</w:t>
            </w:r>
          </w:p>
        </w:tc>
        <w:tc>
          <w:tcPr>
            <w:tcW w:type="dxa" w:w="2492"/>
          </w:tcPr>
          <w:p>
            <w:pPr>
              <w:pStyle w:val="null3"/>
            </w:pPr>
            <w:r>
              <w:rPr>
                <w:rFonts w:ascii="仿宋_GB2312" w:hAnsi="仿宋_GB2312" w:cs="仿宋_GB2312" w:eastAsia="仿宋_GB2312"/>
              </w:rPr>
              <w:t>（一）根据供应商提供的项目质量保障措施情况进行评审，项目质量保证措施需包含车辆、人员、医疗应急等保障措施（5分）： 一、评审标准 1、完整性：项目质量保障措施必须全面，有详细描述； 2、合理性：项目质量保障措施须切合本项目实际情况，具有相应措施； 二、赋分标准（满分5分） 每完全满足一个评审标准得2.5分，满分5分；这部分内容缺失则不得分，每有一处内容存在缺陷或不足的扣1分，该项分值扣完为止。 备注：内容存在缺陷或不足是指以下任意一种情况：措施内容不符合行业实际或国家法规、政策；或措施内容生搬硬造，与实际情况不符，存在偏差；或措施内容过于简略；或存在与项目无关的文字内容；或措施内容不适用项目实际情况；或措施水平低下、存在漏洞。 （二）管理制度（5分） 一、评审标准 1、完整性：管理制度必须全面，对岗位职责、岗位安排、内部管理等有详细描述； 2、合理性：管理制度切合本项目实际情况，具有相应管理措施； 二、赋分标准（满分5分） 每完全满足一个评审标准得2.5分，满分5分；这部分内容缺失则不得分，每有一处内容存在缺陷或不足的扣1分，该项分值扣完为止。 备注：制度内容存在缺陷或不足是指以下任意一种情况：制度内容不符合行业实际或国家法规、政策；或制度内容生搬硬造，与实际情况不符，存在偏差；或制度内容过于简略；或存在与项目无关的文字内容；或内容不适用项目实际情况；或制度管理水平低下、存在制度漏洞。</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分为两部分进行报价评分： （1）第一部分为培训费（除师资费外）单价，价格分为7分。各供应商应按照“陕西省财政厅中共陕西省委组织部陕西省公务员局关于印发《陕西省省级机关培训费管理办法》的通知”（陕财办[2017]16号）规定和自身能力进行报价，其单价最高上限价为人民币400元/天/人； 满足招标文件要求且评审价格最低的投标报价（培训费（除师资费外）单价（含税））为该部分评标基准价，其价格分为满分7分。其他供应商的价格分统一按照下列公式计算：投标总报价得分=（评标基准价/投标总报价）× 价格分值。 （2）第二部分为各级师资费单价（不含税）的合价，价格分为3分。各供应商应按照“陕西省财政厅中共陕西省委组织部陕西省公务员局关于印发《陕西省省级机关培训费管理办法》的通知”（陕财办[2017]16号）规定和自身能力进行报价，同时须将各师资费单价在招标文件附表“分项报价表”中进行详细报价，单价类别按表内所列为准，不得漏填或0报价），其中副高级技术职称专业人员每学时最高上限价不超过500元，正高级技术职称专业人员每学时最高上限价不超过1000元，院士、全国知名专家每学时最高上限价不超过1500元。 满足招标文件要求且评审价格最低的投标报价（各师资费单价的合价）为该部分评标基准价，其价格分为满分3分。其他供应商的价格分统一按照下列公式计算：投标总报价得分=（评标基准价/投标总报价）× 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开标一览表（此表必须填写）.pdf</w:t>
            </w:r>
          </w:p>
          <w:p>
            <w:pPr>
              <w:pStyle w:val="null3"/>
            </w:pPr>
            <w:r>
              <w:rPr>
                <w:rFonts w:ascii="仿宋_GB2312" w:hAnsi="仿宋_GB2312" w:cs="仿宋_GB2312" w:eastAsia="仿宋_GB2312"/>
              </w:rPr>
              <w:t>分项报价表（此表必须填写）.pdf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本项目非专门面向中小企业采购，供应商如果为小微企业、或监狱企业、或残疾人福利企业，则供应商的投标总报价扣除10%后参与评审。 注意：本项目所属行业为“其他未列明行业”，请供应商依据“关于印发中小企业划型标准规定的通知(工信部联企业〔2011〕300号)”行业划分规模及标准，结合企业自身情况按需提供相关声明函。 中小企业判定标准：（十六）其他未列明行业。从业人员300人以下的为中小微型企业。其中，从业人员100人及以上的为中型企业；从业人员10人及以上的为小型企业；从业人员10人以下的为微型企业。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详见附件：开标一览表（此表必须填写）.pdf</w:t>
      </w:r>
    </w:p>
    <w:p>
      <w:pPr>
        <w:pStyle w:val="null3"/>
        <w:ind w:firstLine="960"/>
      </w:pPr>
      <w:r>
        <w:rPr>
          <w:rFonts w:ascii="仿宋_GB2312" w:hAnsi="仿宋_GB2312" w:cs="仿宋_GB2312" w:eastAsia="仿宋_GB2312"/>
        </w:rPr>
        <w:t>详见附件：分项报价表（此表必须填写）.pdf</w:t>
      </w:r>
    </w:p>
    <w:p>
      <w:pPr>
        <w:pStyle w:val="null3"/>
        <w:ind w:firstLine="960"/>
      </w:pPr>
      <w:r>
        <w:rPr>
          <w:rFonts w:ascii="仿宋_GB2312" w:hAnsi="仿宋_GB2312" w:cs="仿宋_GB2312" w:eastAsia="仿宋_GB2312"/>
        </w:rPr>
        <w:t>详见附件：投标保证金缴纳截图.docx</w:t>
      </w:r>
    </w:p>
    <w:p>
      <w:pPr>
        <w:pStyle w:val="null3"/>
        <w:ind w:firstLine="960"/>
      </w:pPr>
      <w:r>
        <w:rPr>
          <w:rFonts w:ascii="仿宋_GB2312" w:hAnsi="仿宋_GB2312" w:cs="仿宋_GB2312" w:eastAsia="仿宋_GB2312"/>
        </w:rPr>
        <w:t>详见附件：其他材料.pdf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