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版本号：JXZB2025-03-1720250423001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全省市场主体数据分析大赛采购服务项目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JXZB2025-03-17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全省市场主体数据分析大赛采购服务项目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JXZB2025-03-17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全省市场主体数据分析大赛采购服务项目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全省市场主体数据分析大赛服务采购项目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采购包1（全省市场主体数据分析大赛采购服务项目）：属于专门面向中小企业采购。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3、财务状况报告：提供经审计的2023或2024年度的财务报告；或提交谈判响应文件截止时间前六个月内出具的银行资信证明；或政府采购信用担保机构出具的投标担保函。</w:t>
      </w:r>
    </w:p>
    <w:p>
      <w:pPr>
        <w:pStyle w:val="null3"/>
      </w:pPr>
      <w:r>
        <w:rPr>
          <w:rFonts w:ascii="仿宋_GB2312" w:hAnsi="仿宋_GB2312" w:cs="仿宋_GB2312" w:eastAsia="仿宋_GB2312"/>
        </w:rPr>
        <w:t>4、税收缴纳证明：提供已缴纳的本年度或上年度任一月份的缴税凭证；依法免税的供应商应提供相关文件证明。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6、履约能力承诺：提供具有履行本合同所必需的设备和专业技术能力的承诺。</w:t>
      </w:r>
    </w:p>
    <w:p>
      <w:pPr>
        <w:pStyle w:val="null3"/>
      </w:pPr>
      <w:r>
        <w:rPr>
          <w:rFonts w:ascii="仿宋_GB2312" w:hAnsi="仿宋_GB2312" w:cs="仿宋_GB2312" w:eastAsia="仿宋_GB2312"/>
        </w:rPr>
        <w:t>7、违法记录声明：提供参加政府采购活动前三年内在经营活动中没有重大违法记录的书面声明。</w:t>
      </w:r>
    </w:p>
    <w:p>
      <w:pPr>
        <w:pStyle w:val="null3"/>
      </w:pPr>
      <w:r>
        <w:rPr>
          <w:rFonts w:ascii="仿宋_GB2312" w:hAnsi="仿宋_GB2312" w:cs="仿宋_GB2312" w:eastAsia="仿宋_GB2312"/>
        </w:rPr>
        <w:t>8、非联合体承诺：提供联合体投标承诺书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开户名称：建信众诚工程咨询有限公司</w:t>
            </w:r>
          </w:p>
          <w:p>
            <w:pPr>
              <w:pStyle w:val="null3"/>
            </w:pPr>
            <w:r>
              <w:rPr>
                <w:rFonts w:ascii="仿宋_GB2312" w:hAnsi="仿宋_GB2312" w:cs="仿宋_GB2312" w:eastAsia="仿宋_GB2312"/>
              </w:rPr>
              <w:t>开户银行：西安银行股份有限公司东二环南段支行</w:t>
            </w:r>
          </w:p>
          <w:p>
            <w:pPr>
              <w:pStyle w:val="null3"/>
            </w:pPr>
            <w:r>
              <w:rPr>
                <w:rFonts w:ascii="仿宋_GB2312" w:hAnsi="仿宋_GB2312" w:cs="仿宋_GB2312" w:eastAsia="仿宋_GB2312"/>
              </w:rPr>
              <w:t>银行账号：209011580000085788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不足伍仟元的按伍仟元计取），由中标人在领取中标通知书时向代理机构缴纳代理服务费。招标代理服务费采用现金、电汇或银行转账方式交纳，不得采用投标保证金抵扣。 服务费交纳账户：开户行：西安银行股份有限公司东二环南段支行；开户名称：建信众诚工程咨询有限公司；账号：209011580000085788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地址：陕西省西安市雁塔区南二环西段208号捷瑞智能大厦东区9楼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全省市场主体数据分析大赛采购服务项目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w:t>
      </w:r>
    </w:p>
    <w:p>
      <w:pPr>
        <w:pStyle w:val="null3"/>
      </w:pPr>
      <w:r>
        <w:rPr>
          <w:rFonts w:ascii="仿宋_GB2312" w:hAnsi="仿宋_GB2312" w:cs="仿宋_GB2312" w:eastAsia="仿宋_GB2312"/>
        </w:rPr>
        <w:t>采购包最高限价（元）: 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承办全省市场主体数据分析大赛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标的名称：承办全省市场主体数据分析大赛</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61"/>
              <w:gridCol w:w="335"/>
              <w:gridCol w:w="653"/>
              <w:gridCol w:w="174"/>
              <w:gridCol w:w="268"/>
              <w:gridCol w:w="157"/>
            </w:tblGrid>
            <w:tr>
              <w:tc>
                <w:tcPr>
                  <w:tcW w:type="dxa" w:w="5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内容</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次</w:t>
                  </w:r>
                </w:p>
              </w:tc>
            </w:tr>
            <w:tr>
              <w:tc>
                <w:tcPr>
                  <w:tcW w:type="dxa" w:w="18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AV</w:t>
                  </w:r>
                  <w:r>
                    <w:rPr>
                      <w:rFonts w:ascii="仿宋_GB2312" w:hAnsi="仿宋_GB2312" w:cs="仿宋_GB2312" w:eastAsia="仿宋_GB2312"/>
                      <w:sz w:val="21"/>
                      <w:b/>
                      <w:color w:val="000000"/>
                    </w:rPr>
                    <w:t>设备</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AV</w:t>
                  </w:r>
                  <w:r>
                    <w:rPr>
                      <w:rFonts w:ascii="仿宋_GB2312" w:hAnsi="仿宋_GB2312" w:cs="仿宋_GB2312" w:eastAsia="仿宋_GB2312"/>
                      <w:sz w:val="21"/>
                      <w:color w:val="000000"/>
                    </w:rPr>
                    <w:t>设备</w:t>
                  </w:r>
                </w:p>
              </w:tc>
              <w:tc>
                <w:tcPr>
                  <w:tcW w:type="dxa" w:w="335"/>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灯光架</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升降支架</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帕灯</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w:t>
                  </w:r>
                  <w:r>
                    <w:rPr>
                      <w:rFonts w:ascii="仿宋_GB2312" w:hAnsi="仿宋_GB2312" w:cs="仿宋_GB2312" w:eastAsia="仿宋_GB2312"/>
                      <w:sz w:val="21"/>
                      <w:color w:val="000000"/>
                    </w:rPr>
                    <w:t>灯</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倒计时软件</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参赛计时</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大屏切换</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w:t>
                  </w:r>
                  <w:r>
                    <w:rPr>
                      <w:rFonts w:ascii="仿宋_GB2312" w:hAnsi="仿宋_GB2312" w:cs="仿宋_GB2312" w:eastAsia="仿宋_GB2312"/>
                      <w:sz w:val="21"/>
                      <w:color w:val="000000"/>
                    </w:rPr>
                    <w:t>无缝切换系统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专业操作人员</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大屏专业操作师、灯光师、音响师</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陈列展示</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展板</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签到签名墙</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3*5m)</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高清黑白布</w:t>
                  </w:r>
                  <w:r>
                    <w:rPr>
                      <w:rFonts w:ascii="仿宋_GB2312" w:hAnsi="仿宋_GB2312" w:cs="仿宋_GB2312" w:eastAsia="仿宋_GB2312"/>
                      <w:sz w:val="21"/>
                      <w:color w:val="000000"/>
                    </w:rPr>
                    <w:t>(3*5m)</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欢迎墙</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3*4m)</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高清黑白布</w:t>
                  </w:r>
                  <w:r>
                    <w:rPr>
                      <w:rFonts w:ascii="仿宋_GB2312" w:hAnsi="仿宋_GB2312" w:cs="仿宋_GB2312" w:eastAsia="仿宋_GB2312"/>
                      <w:sz w:val="21"/>
                      <w:color w:val="000000"/>
                    </w:rPr>
                    <w:t>(3*4m)</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宣传展板</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铝型材（</w:t>
                  </w:r>
                  <w:r>
                    <w:rPr>
                      <w:rFonts w:ascii="仿宋_GB2312" w:hAnsi="仿宋_GB2312" w:cs="仿宋_GB2312" w:eastAsia="仿宋_GB2312"/>
                      <w:sz w:val="21"/>
                      <w:color w:val="000000"/>
                    </w:rPr>
                    <w:t>4*6m)</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软膜（</w:t>
                  </w:r>
                  <w:r>
                    <w:rPr>
                      <w:rFonts w:ascii="仿宋_GB2312" w:hAnsi="仿宋_GB2312" w:cs="仿宋_GB2312" w:eastAsia="仿宋_GB2312"/>
                      <w:sz w:val="21"/>
                      <w:color w:val="000000"/>
                    </w:rPr>
                    <w:t>4*6m)</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8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影视部分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影视部分</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参赛队展示宣传片</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制作</w:t>
                  </w:r>
                  <w:r>
                    <w:rPr>
                      <w:rFonts w:ascii="仿宋_GB2312" w:hAnsi="仿宋_GB2312" w:cs="仿宋_GB2312" w:eastAsia="仿宋_GB2312"/>
                      <w:sz w:val="21"/>
                      <w:color w:val="000000"/>
                    </w:rPr>
                    <w:t>4K</w:t>
                  </w:r>
                  <w:r>
                    <w:rPr>
                      <w:rFonts w:ascii="仿宋_GB2312" w:hAnsi="仿宋_GB2312" w:cs="仿宋_GB2312" w:eastAsia="仿宋_GB2312"/>
                      <w:sz w:val="21"/>
                      <w:color w:val="000000"/>
                    </w:rPr>
                    <w:t>（</w:t>
                  </w:r>
                  <w:r>
                    <w:rPr>
                      <w:rFonts w:ascii="仿宋_GB2312" w:hAnsi="仿宋_GB2312" w:cs="仿宋_GB2312" w:eastAsia="仿宋_GB2312"/>
                      <w:sz w:val="21"/>
                      <w:color w:val="000000"/>
                    </w:rPr>
                    <w:t>16:9</w:t>
                  </w:r>
                  <w:r>
                    <w:rPr>
                      <w:rFonts w:ascii="仿宋_GB2312" w:hAnsi="仿宋_GB2312" w:cs="仿宋_GB2312" w:eastAsia="仿宋_GB2312"/>
                      <w:sz w:val="21"/>
                      <w:color w:val="000000"/>
                    </w:rPr>
                    <w:t>）视频</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参加全国市场主体数据分析大赛</w:t>
                  </w:r>
                  <w:r>
                    <w:rPr>
                      <w:rFonts w:ascii="仿宋_GB2312" w:hAnsi="仿宋_GB2312" w:cs="仿宋_GB2312" w:eastAsia="仿宋_GB2312"/>
                      <w:sz w:val="21"/>
                      <w:color w:val="000000"/>
                    </w:rPr>
                    <w:t>ppt</w:t>
                  </w:r>
                  <w:r>
                    <w:rPr>
                      <w:rFonts w:ascii="仿宋_GB2312" w:hAnsi="仿宋_GB2312" w:cs="仿宋_GB2312" w:eastAsia="仿宋_GB2312"/>
                      <w:sz w:val="21"/>
                      <w:color w:val="000000"/>
                    </w:rPr>
                    <w:t>及</w:t>
                  </w:r>
                  <w:r>
                    <w:rPr>
                      <w:rFonts w:ascii="仿宋_GB2312" w:hAnsi="仿宋_GB2312" w:cs="仿宋_GB2312" w:eastAsia="仿宋_GB2312"/>
                      <w:sz w:val="21"/>
                      <w:color w:val="000000"/>
                    </w:rPr>
                    <w:t>视频制作</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现场直播</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大赛现场直播</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直播切换台</w:t>
                  </w:r>
                  <w:r>
                    <w:rPr>
                      <w:rFonts w:ascii="仿宋_GB2312" w:hAnsi="仿宋_GB2312" w:cs="仿宋_GB2312" w:eastAsia="仿宋_GB2312"/>
                      <w:sz w:val="21"/>
                      <w:color w:val="000000"/>
                    </w:rPr>
                    <w:t>SONY</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10</w:t>
                  </w:r>
                  <w:r>
                    <w:rPr>
                      <w:rFonts w:ascii="仿宋_GB2312" w:hAnsi="仿宋_GB2312" w:cs="仿宋_GB2312" w:eastAsia="仿宋_GB2312"/>
                      <w:sz w:val="21"/>
                      <w:color w:val="000000"/>
                    </w:rPr>
                    <w:t>年以上从业人员</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摄影</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10</w:t>
                  </w:r>
                  <w:r>
                    <w:rPr>
                      <w:rFonts w:ascii="仿宋_GB2312" w:hAnsi="仿宋_GB2312" w:cs="仿宋_GB2312" w:eastAsia="仿宋_GB2312"/>
                      <w:sz w:val="21"/>
                      <w:color w:val="000000"/>
                    </w:rPr>
                    <w:t>年以上从业人员</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4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其他部分</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其他部分</w:t>
                  </w:r>
                </w:p>
                <w:p>
                  <w:pPr>
                    <w:pStyle w:val="null3"/>
                    <w:jc w:val="center"/>
                  </w:pPr>
                  <w:r>
                    <w:rPr>
                      <w:rFonts w:ascii="仿宋_GB2312" w:hAnsi="仿宋_GB2312" w:cs="仿宋_GB2312" w:eastAsia="仿宋_GB2312"/>
                      <w:sz w:val="21"/>
                      <w:b/>
                    </w:rPr>
                    <w:t xml:space="preserve"> </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设计</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大赛画面</w:t>
                  </w:r>
                  <w:r>
                    <w:rPr>
                      <w:rFonts w:ascii="仿宋_GB2312" w:hAnsi="仿宋_GB2312" w:cs="仿宋_GB2312" w:eastAsia="仿宋_GB2312"/>
                      <w:sz w:val="21"/>
                      <w:color w:val="000000"/>
                    </w:rPr>
                    <w:t>及参赛设计</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执行服务</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评委专家</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大赛手册</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210*285  200</w:t>
                  </w:r>
                  <w:r>
                    <w:rPr>
                      <w:rFonts w:ascii="仿宋_GB2312" w:hAnsi="仿宋_GB2312" w:cs="仿宋_GB2312" w:eastAsia="仿宋_GB2312"/>
                      <w:sz w:val="21"/>
                      <w:color w:val="000000"/>
                    </w:rPr>
                    <w:t>克铜版</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讲台花</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鲜花</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礼仪</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含服装</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奖杯、证书</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证件</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参赛证、工作证、专家证</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食宿</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参赛队员</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7月下旬，具体时间待定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服务商完成搭建后，通知采购人验收，采购人验收合格的，应向服务商出具书面验收合格证明。若采购人验收不合格，则应告知服务商具体修改意见由服务商进行修改。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大赛结束后，达到付款条件起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提供经审计的2023或2024年度的财务报告；或提交谈判响应文件截止时间前六个月内出具的银行资信证明；或政府采购信用担保机构出具的投标担保函。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服务内容及服务邀请应答表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根据本项目实际情况，制定服务方案：（包括但不限于①总体策划；②实施方案)进行综合评审。 前述要求的方案内容均有描述且符合本项目要求的得8分；每缺少一项要求的方案内容扣4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会场设置方案</w:t>
            </w:r>
          </w:p>
        </w:tc>
        <w:tc>
          <w:tcPr>
            <w:tcW w:type="dxa" w:w="2492"/>
          </w:tcPr>
          <w:p>
            <w:pPr>
              <w:pStyle w:val="null3"/>
            </w:pPr>
            <w:r>
              <w:rPr>
                <w:rFonts w:ascii="仿宋_GB2312" w:hAnsi="仿宋_GB2312" w:cs="仿宋_GB2312" w:eastAsia="仿宋_GB2312"/>
              </w:rPr>
              <w:t>根供应商针对大赛活动的要求及特点制定会场设置方案（包括但不限于①场地租赁；②搭建；③物料制作；)进行综合评审。 前述要求的方案内容均有描述且符合本项目要求的得12分；每缺少一项要求的方案内容扣4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针对本项目制定宣传计划和宣传要求（包括但不限于①宣传视频制作；②具有活动特色的实施方案)进行综合评审。 前述要求的方案内容均有描述且符合本项目目要求的得8分；每缺少一项要求的方案内容扣4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针对本项目的人员配备方案，（包括但不限于①配置结构完整②人员岗位分工明确③人员经验丰富，职责清晰，④工作及服务人员经过严格培训，数量充足，有详细的人员名单能够完全满足本次活动）进行综合评审。 前述要求的方案内容均有描述且符合本项目要求的得16分；每缺少一项要求的方案内容扣4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根据本项目实际情况，供应商结合项目需求，提供针详细完整的服务质量保证方案。（包括但不限于①服务承诺；②服务响应时间；③服务质量保障措施）进行综合评审。 前述要求的方案内容均有描述且符合本项目要求的得9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应急预案评 价</w:t>
            </w:r>
          </w:p>
        </w:tc>
        <w:tc>
          <w:tcPr>
            <w:tcW w:type="dxa" w:w="2492"/>
          </w:tcPr>
          <w:p>
            <w:pPr>
              <w:pStyle w:val="null3"/>
            </w:pPr>
            <w:r>
              <w:rPr>
                <w:rFonts w:ascii="仿宋_GB2312" w:hAnsi="仿宋_GB2312" w:cs="仿宋_GB2312" w:eastAsia="仿宋_GB2312"/>
              </w:rPr>
              <w:t>根据本项目实际情况，供应商根据项目提供详细完整的应急方案，（包括但不限于①对于突发事件的归纳总结；②针对不同突发问题的解决）进行综合评审。 前述要求的方案内容均有描述且符合本项目要求的得6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根据本项目实际情况，供应商根据项目提供详细完整的应急方案，（包括但不限于①服务机制；②管理制度；③工作流程；④服务保障措施）进行综合评审。 前述要求的方案内容均有描述且符合本项目要求的得12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供应商提供2020年1月1日至今(以合同签订日期为准）同类项目业绩相关合同，每提供一份得2分，满分14分。备注：以上合同、证明文件须提供复印件加盖供应商公章。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