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版本号：SZB-2025-001-0920250424001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2025年六五环境日系列活动项目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SZB-2025-001-09</w:t>
      </w:r>
      <w:r>
        <w:br/>
      </w:r>
      <w:r>
        <w:br/>
      </w:r>
      <w:r>
        <w:br/>
      </w:r>
    </w:p>
    <w:p>
      <w:pPr>
        <w:pStyle w:val="null3"/>
        <w:jc w:val="center"/>
        <w:outlineLvl w:val="2"/>
      </w:pPr>
      <w:r>
        <w:rPr>
          <w:rFonts w:ascii="仿宋_GB2312" w:hAnsi="仿宋_GB2312" w:cs="仿宋_GB2312" w:eastAsia="仿宋_GB2312"/>
          <w:sz w:val="28"/>
          <w:b/>
        </w:rPr>
        <w:t>陕西省环境保护宣传教育中心</w:t>
      </w:r>
    </w:p>
    <w:p>
      <w:pPr>
        <w:pStyle w:val="null3"/>
        <w:jc w:val="center"/>
        <w:outlineLvl w:val="2"/>
      </w:pPr>
      <w:r>
        <w:rPr>
          <w:rFonts w:ascii="仿宋_GB2312" w:hAnsi="仿宋_GB2312" w:cs="仿宋_GB2312" w:eastAsia="仿宋_GB2312"/>
          <w:sz w:val="28"/>
          <w:b/>
        </w:rPr>
        <w:t>陕西众恒项目管理有限公司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陕西众恒项目管理有限公司</w:t>
      </w:r>
      <w:r>
        <w:rPr>
          <w:rFonts w:ascii="仿宋_GB2312" w:hAnsi="仿宋_GB2312" w:cs="仿宋_GB2312" w:eastAsia="仿宋_GB2312"/>
        </w:rPr>
        <w:t>（以下简称“代理机构”）受</w:t>
      </w:r>
      <w:r>
        <w:rPr>
          <w:rFonts w:ascii="仿宋_GB2312" w:hAnsi="仿宋_GB2312" w:cs="仿宋_GB2312" w:eastAsia="仿宋_GB2312"/>
        </w:rPr>
        <w:t>陕西省环境保护宣传教育中心</w:t>
      </w:r>
      <w:r>
        <w:rPr>
          <w:rFonts w:ascii="仿宋_GB2312" w:hAnsi="仿宋_GB2312" w:cs="仿宋_GB2312" w:eastAsia="仿宋_GB2312"/>
        </w:rPr>
        <w:t>委托，拟对</w:t>
      </w:r>
      <w:r>
        <w:rPr>
          <w:rFonts w:ascii="仿宋_GB2312" w:hAnsi="仿宋_GB2312" w:cs="仿宋_GB2312" w:eastAsia="仿宋_GB2312"/>
        </w:rPr>
        <w:t>2025年六五环境日系列活动项目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SZB-2025-001-09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2025年六五环境日系列活动项目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第六届全省大学生生态文学创作大赛及2025年六五环境日主题宣传。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采购包1（2025年六五环境日系列活动）：属于专门面向中小企业采购。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2、财务状况报告：提供经审计的2023年度或2024年度的财务报告或提供开标日期前六个月内其基本账户开户银行出具的资信证明；其他组织和自然人提供银行出具的资信证明或财务报表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3、税收缴纳证明：提供已缴纳的本年度或上年度任一月份的缴税凭证。依法免税的供应商应提供相关文件证明</w:t>
      </w:r>
    </w:p>
    <w:p>
      <w:pPr>
        <w:pStyle w:val="null3"/>
      </w:pPr>
      <w:r>
        <w:rPr>
          <w:rFonts w:ascii="仿宋_GB2312" w:hAnsi="仿宋_GB2312" w:cs="仿宋_GB2312" w:eastAsia="仿宋_GB2312"/>
        </w:rPr>
        <w:t>4、社会保障资金缴纳证明：提供已缴存的本年度或上年度任一月份的社会保障资金缴存单据或社保机构开具的社会保险参保缴费情况证明或提供其它相关证明资料，单据或证明上应有社保机构或代收机构的公章。依法不需要缴纳社会保障资金的服务商应提供相关文件证明</w:t>
      </w:r>
    </w:p>
    <w:p>
      <w:pPr>
        <w:pStyle w:val="null3"/>
      </w:pPr>
      <w:r>
        <w:rPr>
          <w:rFonts w:ascii="仿宋_GB2312" w:hAnsi="仿宋_GB2312" w:cs="仿宋_GB2312" w:eastAsia="仿宋_GB2312"/>
        </w:rPr>
        <w:t>5、信用记录：参加本次政府采购活动前3年内在经营活动中没有重大违纪，以及未被列入失信被执行人、重大税收 违法案件当事人名单、政府采购严重违法失信行为记录名单</w:t>
      </w:r>
    </w:p>
    <w:p>
      <w:pPr>
        <w:pStyle w:val="null3"/>
      </w:pPr>
      <w:r>
        <w:rPr>
          <w:rFonts w:ascii="仿宋_GB2312" w:hAnsi="仿宋_GB2312" w:cs="仿宋_GB2312" w:eastAsia="仿宋_GB2312"/>
        </w:rPr>
        <w:t>6、信用主体查询：供应商通过“信用中国”网站(www.creditchina.gov.cn)查询相关主体信用记录，查询时间须在采购 文件发售期至开标截止时间之间，并将网页截图附在响应文件中</w:t>
      </w:r>
    </w:p>
    <w:p>
      <w:pPr>
        <w:pStyle w:val="null3"/>
      </w:pPr>
      <w:r>
        <w:rPr>
          <w:rFonts w:ascii="仿宋_GB2312" w:hAnsi="仿宋_GB2312" w:cs="仿宋_GB2312" w:eastAsia="仿宋_GB2312"/>
        </w:rPr>
        <w:t>7、书面声明：具有履行合同所必需的专业技术和行业组织协调能力的承诺函</w:t>
      </w:r>
    </w:p>
    <w:p>
      <w:pPr>
        <w:pStyle w:val="null3"/>
      </w:pPr>
      <w:r>
        <w:rPr>
          <w:rFonts w:ascii="仿宋_GB2312" w:hAnsi="仿宋_GB2312" w:cs="仿宋_GB2312" w:eastAsia="仿宋_GB2312"/>
        </w:rPr>
        <w:t>8、《非联合体不分包投标声明》：本项目不接受联合体投标，不允许分包：供应商提供《非联合体不分包投标声明》，视为独立响应，不分包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陕西省环境保护宣传教育中心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西安市西影路环保大厦1312室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韩部长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029-85429295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陕西省西安市雁塔区雁翔路99号交大科技园博源科技广场C座12层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15353239788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代理服务费收费标准：根据《招标代理服务收费管理暂行办法》计价格[2002]1980号文和发改价格[2011]534号下浮10％收取。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陕西省环境保护宣传教育中心</w:t>
      </w:r>
      <w:r>
        <w:rPr>
          <w:rFonts w:ascii="仿宋_GB2312" w:hAnsi="仿宋_GB2312" w:cs="仿宋_GB2312" w:eastAsia="仿宋_GB2312"/>
        </w:rPr>
        <w:t>和</w:t>
      </w:r>
      <w:r>
        <w:rPr>
          <w:rFonts w:ascii="仿宋_GB2312" w:hAnsi="仿宋_GB2312" w:cs="仿宋_GB2312" w:eastAsia="仿宋_GB2312"/>
        </w:rPr>
        <w:t>陕西众恒项目管理有限公司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陕西省环境保护宣传教育中心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陕西省环境保护宣传教育中心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联系人：章工</w:t>
      </w:r>
    </w:p>
    <w:p>
      <w:pPr>
        <w:pStyle w:val="null3"/>
      </w:pPr>
      <w:r>
        <w:rPr>
          <w:rFonts w:ascii="仿宋_GB2312" w:hAnsi="仿宋_GB2312" w:cs="仿宋_GB2312" w:eastAsia="仿宋_GB2312"/>
        </w:rPr>
        <w:t>联系电话：15353239788</w:t>
      </w:r>
    </w:p>
    <w:p>
      <w:pPr>
        <w:pStyle w:val="null3"/>
      </w:pPr>
      <w:r>
        <w:rPr>
          <w:rFonts w:ascii="仿宋_GB2312" w:hAnsi="仿宋_GB2312" w:cs="仿宋_GB2312" w:eastAsia="仿宋_GB2312"/>
        </w:rPr>
        <w:t>地址：陕西省西安市雁塔区雁翔路99号交大科技园博源科技广场C座12层</w:t>
      </w:r>
    </w:p>
    <w:p>
      <w:pPr>
        <w:pStyle w:val="null3"/>
      </w:pPr>
      <w:r>
        <w:rPr>
          <w:rFonts w:ascii="仿宋_GB2312" w:hAnsi="仿宋_GB2312" w:cs="仿宋_GB2312" w:eastAsia="仿宋_GB2312"/>
        </w:rPr>
        <w:t>邮编：710043</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第六届全省大学生生态文学创作大赛及2025年六五环境日主题宣传。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680,000.00</w:t>
      </w:r>
    </w:p>
    <w:p>
      <w:pPr>
        <w:pStyle w:val="null3"/>
      </w:pPr>
      <w:r>
        <w:rPr>
          <w:rFonts w:ascii="仿宋_GB2312" w:hAnsi="仿宋_GB2312" w:cs="仿宋_GB2312" w:eastAsia="仿宋_GB2312"/>
        </w:rPr>
        <w:t>采购包最高限价（元）: 680,000.00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2025年六五环境日系列活动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标的名称：2025年六五环境日系列活动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w:t>
            </w:r>
          </w:p>
        </w:tc>
        <w:tc>
          <w:tcPr>
            <w:tcW w:type="dxa" w:w="2076"/>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围绕六五环境日主题，完成线上线下的配合性宣传</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2、举办2025年六五环境日主场活动启动仪式、组织实施生态文化创作大赛、生态文化创作大赛颁奖典礼等。</w:t>
            </w:r>
          </w:p>
          <w:p>
            <w:pPr>
              <w:pStyle w:val="null3"/>
              <w:jc w:val="left"/>
            </w:pPr>
            <w:r>
              <w:rPr>
                <w:rFonts w:ascii="仿宋_GB2312" w:hAnsi="仿宋_GB2312" w:cs="仿宋_GB2312" w:eastAsia="仿宋_GB2312"/>
                <w:sz w:val="24"/>
                <w:color w:val="000000"/>
              </w:rPr>
              <w:t>3、征集有关绿色、生态、环保方面的小说、散文、诗歌、剧本等，作品征集结束后，将由各主办单位相关领导、著名作家和学者组成评选委员会，对参赛作品进行评选，最终结果将向社会予以公布。</w:t>
            </w:r>
          </w:p>
          <w:p>
            <w:pPr>
              <w:pStyle w:val="null3"/>
              <w:jc w:val="both"/>
            </w:pPr>
            <w:r>
              <w:rPr>
                <w:rFonts w:ascii="仿宋_GB2312" w:hAnsi="仿宋_GB2312" w:cs="仿宋_GB2312" w:eastAsia="仿宋_GB2312"/>
                <w:sz w:val="24"/>
                <w:color w:val="000000"/>
              </w:rPr>
              <w:t>4、其他配套活动包括举办相关主题研讨会、出版《生态文学》杂志、召开评审会及举办颁奖典礼等。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陕西省环境保护宣传教育中心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按照磋商文件、响应文件及合同要求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符合采购要求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提供经审计的2023年度或2024年度的财务报告或提供开标日期前六个月内其基本账户开户银行出具的资信证明；其他组织和自然人提供银行出具的资信证明或财务报表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提供已缴纳的本年度或上年度任一月份的缴税凭证。依法免税的供应商应提供相关文件证明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已缴存的本年度或上年度任一月份的社会保障资金缴存单据或社保机构开具的社会保险参保缴费情况证明或提供其它相关证明资料，单据或证明上应有社保机构或代收机构的公章。依法不需要缴纳社会保障资金的服务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 违法案件当事人名单、政府采购严重违法失信行为记录名单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信用主体查询</w:t>
            </w:r>
          </w:p>
        </w:tc>
        <w:tc>
          <w:tcPr>
            <w:tcW w:type="dxa" w:w="3322"/>
          </w:tcPr>
          <w:p>
            <w:pPr>
              <w:pStyle w:val="null3"/>
            </w:pPr>
            <w:r>
              <w:rPr>
                <w:rFonts w:ascii="仿宋_GB2312" w:hAnsi="仿宋_GB2312" w:cs="仿宋_GB2312" w:eastAsia="仿宋_GB2312"/>
              </w:rPr>
              <w:t>供应商通过“信用中国”网站(www.creditchina.gov.cn)查询相关主体信用记录，查询时间须在采购 文件发售期至开标截止时间之间，并将网页截图附在响应文件中</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具有履行合同所必需的专业技术和行业组织协调能力的承诺函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《非联合体不分包投标声明》</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本项目不接受联合体投标，不允许分包：供应商提供《非联合体不分包投标声明》，视为独立响应，不分包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服务及履约能力1</w:t>
            </w:r>
          </w:p>
        </w:tc>
        <w:tc>
          <w:tcPr>
            <w:tcW w:type="dxa" w:w="2492"/>
          </w:tcPr>
          <w:p>
            <w:pPr>
              <w:pStyle w:val="null3"/>
            </w:pPr>
            <w:r>
              <w:rPr>
                <w:rFonts w:ascii="仿宋_GB2312" w:hAnsi="仿宋_GB2312" w:cs="仿宋_GB2312" w:eastAsia="仿宋_GB2312"/>
              </w:rPr>
              <w:t>1.根据现行的企业日常管理的团队健全程度和业务管理制度进行评分，具有履行合同所必须的专业技术团队，按其响应程度计15-0分。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服务及履约能力2</w:t>
            </w:r>
          </w:p>
        </w:tc>
        <w:tc>
          <w:tcPr>
            <w:tcW w:type="dxa" w:w="2492"/>
          </w:tcPr>
          <w:p>
            <w:pPr>
              <w:pStyle w:val="null3"/>
            </w:pPr>
            <w:r>
              <w:rPr>
                <w:rFonts w:ascii="仿宋_GB2312" w:hAnsi="仿宋_GB2312" w:cs="仿宋_GB2312" w:eastAsia="仿宋_GB2312"/>
              </w:rPr>
              <w:t>2.根据供应商的服务机制、管理制度、工作流程、服务保障以及服务措施是否完善、是否能够充分保证达到项目实施目的。由磋商小组根据响应情况赋15-0分。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技术要求2</w:t>
            </w:r>
          </w:p>
        </w:tc>
        <w:tc>
          <w:tcPr>
            <w:tcW w:type="dxa" w:w="2492"/>
          </w:tcPr>
          <w:p>
            <w:pPr>
              <w:pStyle w:val="null3"/>
            </w:pPr>
            <w:r>
              <w:rPr>
                <w:rFonts w:ascii="仿宋_GB2312" w:hAnsi="仿宋_GB2312" w:cs="仿宋_GB2312" w:eastAsia="仿宋_GB2312"/>
              </w:rPr>
              <w:t>根据供应商对“磋商内容及要求”的响应程度评分。根据响应程度优良计15-10分，一般计10-5分，差计 5-0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技术要求3</w:t>
            </w:r>
          </w:p>
        </w:tc>
        <w:tc>
          <w:tcPr>
            <w:tcW w:type="dxa" w:w="2492"/>
          </w:tcPr>
          <w:p>
            <w:pPr>
              <w:pStyle w:val="null3"/>
            </w:pPr>
            <w:r>
              <w:rPr>
                <w:rFonts w:ascii="仿宋_GB2312" w:hAnsi="仿宋_GB2312" w:cs="仿宋_GB2312" w:eastAsia="仿宋_GB2312"/>
              </w:rPr>
              <w:t>根据对供应商项目实施方案的进度控制措施、质量控制措施等进行综合分析比较评分，得分10-0分。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技术要求1</w:t>
            </w:r>
          </w:p>
        </w:tc>
        <w:tc>
          <w:tcPr>
            <w:tcW w:type="dxa" w:w="2492"/>
          </w:tcPr>
          <w:p>
            <w:pPr>
              <w:pStyle w:val="null3"/>
            </w:pPr>
            <w:r>
              <w:rPr>
                <w:rFonts w:ascii="仿宋_GB2312" w:hAnsi="仿宋_GB2312" w:cs="仿宋_GB2312" w:eastAsia="仿宋_GB2312"/>
              </w:rPr>
              <w:t>针对本项目的理解，提供具体实施方案，方案切合实际，针对性强，可行性强 ，（包含服务流程、人员安排、时间安排等）进行综合评定，优秀在20-15分范围内评分、良好在15-8 分范围内评分、一般在8-0分范围内评分。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技术要求4</w:t>
            </w:r>
          </w:p>
        </w:tc>
        <w:tc>
          <w:tcPr>
            <w:tcW w:type="dxa" w:w="2492"/>
          </w:tcPr>
          <w:p>
            <w:pPr>
              <w:pStyle w:val="null3"/>
            </w:pPr>
            <w:r>
              <w:rPr>
                <w:rFonts w:ascii="仿宋_GB2312" w:hAnsi="仿宋_GB2312" w:cs="仿宋_GB2312" w:eastAsia="仿宋_GB2312"/>
              </w:rPr>
              <w:t>合理化建议具有积极意义，具备可行性，计6-3分；提出合理化建议，但有欠缺，计3-1分，没有合理化建议， 本项不计分。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2022年至今从事过类似相关业绩，一个得3分，最多9 分。业绩证明（以合同或者中标通知书为准，须在响应文件中附扫描件加盖单位公章，弄虚作假者取消其磋商资格）。</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磋商基准价／响应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