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版本号：SZB-2025-001-1720250427001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2025年生态环境网络监控系统项目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SZB-2025-001-17</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2025年生态环境网络监控系统项目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2025年生态环境网络监控系统项目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项目包括生态环境网络监控系统、增值服务、属地网络信息内容管理系统、大屏系统维护。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采购包1（2025年生态环境网络监控项目）：属于专门面向中小企业采购。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2、财务状况报告：提供经审计的2023年度或2024年度的财务报告或提供开标日期前六个月内其基本账户开户银行出具的资信证明；其他组织和自然人提供银行出具的资信证明或财务报表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3、税收缴纳证明：提供已缴纳的本年度或上年度任一月份的缴税凭证。依法免税的供应商应提供相关文件证明</w:t>
      </w:r>
    </w:p>
    <w:p>
      <w:pPr>
        <w:pStyle w:val="null3"/>
      </w:pPr>
      <w:r>
        <w:rPr>
          <w:rFonts w:ascii="仿宋_GB2312" w:hAnsi="仿宋_GB2312" w:cs="仿宋_GB2312" w:eastAsia="仿宋_GB2312"/>
        </w:rPr>
        <w:t>4、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5、信用记录：参加本次政府采购活动前3年内在经营活动中没有重大违纪，以及未被列入失信被执行人、重大税收 违法案件当事人名单、政府采购严重违法失信行为记录名单</w:t>
      </w:r>
    </w:p>
    <w:p>
      <w:pPr>
        <w:pStyle w:val="null3"/>
      </w:pPr>
      <w:r>
        <w:rPr>
          <w:rFonts w:ascii="仿宋_GB2312" w:hAnsi="仿宋_GB2312" w:cs="仿宋_GB2312" w:eastAsia="仿宋_GB2312"/>
        </w:rPr>
        <w:t>6、信用主体查询：供应商通过“信用中国”网站(www.creditchina.gov.cn)查询相关主体信用记录，查询时间须在采购 文件发售期至开标截止时间之间，并将网页截图附在响应文件中</w:t>
      </w:r>
    </w:p>
    <w:p>
      <w:pPr>
        <w:pStyle w:val="null3"/>
      </w:pPr>
      <w:r>
        <w:rPr>
          <w:rFonts w:ascii="仿宋_GB2312" w:hAnsi="仿宋_GB2312" w:cs="仿宋_GB2312" w:eastAsia="仿宋_GB2312"/>
        </w:rPr>
        <w:t>7、书面声明：具有履行合同所必需的专业技术和行业组织协调能力的承诺函</w:t>
      </w:r>
    </w:p>
    <w:p>
      <w:pPr>
        <w:pStyle w:val="null3"/>
      </w:pPr>
      <w:r>
        <w:rPr>
          <w:rFonts w:ascii="仿宋_GB2312" w:hAnsi="仿宋_GB2312" w:cs="仿宋_GB2312" w:eastAsia="仿宋_GB2312"/>
        </w:rPr>
        <w:t>8、《非联合体不分包投标声明》：本项目不接受联合体投标，不允许分包：供应商提供《非联合体不分包投标声明》，视为独立响应，不分包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15353239788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代理服务费收费标准：根据《招标代理服务收费管理暂行办法》计价格[2002]1980号文和发改价格[2011]534号下浮10％收取。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联系人：章工</w:t>
      </w:r>
    </w:p>
    <w:p>
      <w:pPr>
        <w:pStyle w:val="null3"/>
      </w:pPr>
      <w:r>
        <w:rPr>
          <w:rFonts w:ascii="仿宋_GB2312" w:hAnsi="仿宋_GB2312" w:cs="仿宋_GB2312" w:eastAsia="仿宋_GB2312"/>
        </w:rPr>
        <w:t>联系电话：15353239788</w:t>
      </w:r>
    </w:p>
    <w:p>
      <w:pPr>
        <w:pStyle w:val="null3"/>
      </w:pPr>
      <w:r>
        <w:rPr>
          <w:rFonts w:ascii="仿宋_GB2312" w:hAnsi="仿宋_GB2312" w:cs="仿宋_GB2312" w:eastAsia="仿宋_GB2312"/>
        </w:rPr>
        <w:t>地址：陕西省西安市雁塔区雁翔路99号交大科技园博源科技广场C座12层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项目包括生态环境网络监控系统、增值服务、属地网络信息内容管理系统、大屏系统维护。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2025年生态环境网络监控系统项目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标的名称：2025年生态环境网络监控系统项目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（一）生态环境网络监控系统</w:t>
            </w:r>
          </w:p>
          <w:p>
            <w:pPr>
              <w:pStyle w:val="null3"/>
            </w:pPr>
            <w:r>
              <w:rPr>
                <w:rFonts w:ascii="仿宋_GB2312" w:hAnsi="仿宋_GB2312" w:cs="仿宋_GB2312" w:eastAsia="仿宋_GB2312"/>
              </w:rPr>
              <w:t>1.全网监测：实现新闻、客户端、微博、微信、短视频、平媒、论坛、贴吧、博客、图片、搜索引擎等全媒介及全网数据的监测。系统监测范围须包括：新闻、博客信源10000+，采集点30万+，包含：新华社、人民网、新华网等中央媒体，新浪网、网易、腾讯、凤凰网等主流商业新闻门户，省级及地方性新闻门户及行业新闻门户等；论坛、贴吧信源10000+，采集点20万+，包含：人民网地方领导留言板、西部网民生热线、百度贴吧、荣耀论坛、华商论坛等；微博实现全量监测；短视频信源100万+、采集点20万+，包含：抖音、抖音火山版、西瓜视频、快手、爱奇艺、度小视、搜狐视频、腾讯视频、V视、微视、好看视频、央视频、陕西网络广播电视台、陕西广播电视台、西安电视台、青岛电视台、咸阳市广播电视台、芒果视频等商业视频平台、全国或地方的电视台等；微信公众号采集点100+；手机客户端200+，采集点5000+，包含：今日头条、搜狐新闻、搜狐网、UC头条、网易新闻、腾讯新闻、凤凰网、网易号、一点资讯、新浪看点号、手机新浪网、大风号、澎湃号、二三里、陕西头条、百家号、小红书、ZAKER、凯迪社区、懂车帝、华商头条、网易、闪电新闻、西部网、新浪网、生态陕西、新华社、手机网易网、荣耀渭南网、手机荆楚网、央视新闻、人民网等商业、中央、省市地方的客户端；平媒信源2000+，采集点2000+，包括：中央、省、市及商业或行业纸媒体。</w:t>
            </w:r>
          </w:p>
          <w:p>
            <w:pPr>
              <w:pStyle w:val="null3"/>
            </w:pPr>
            <w:r>
              <w:rPr>
                <w:rFonts w:ascii="仿宋_GB2312" w:hAnsi="仿宋_GB2312" w:cs="仿宋_GB2312" w:eastAsia="仿宋_GB2312"/>
              </w:rPr>
              <w:t>2.实时预警：微博信息=&lt;1分钟；中央、省级、主要商业门户、短视频、论坛、客户端、平媒、论坛的信息采集预警时间=&lt;5分钟；其余网站、客户端、论坛、贴吧、博客、平媒等=&lt;15分钟；实现全年365*24小时实时监测；第一时间通过消息提醒、微信服务号等方式推送至相关负责人和领导的手机上。</w:t>
            </w:r>
          </w:p>
          <w:p>
            <w:pPr>
              <w:pStyle w:val="null3"/>
            </w:pPr>
            <w:r>
              <w:rPr>
                <w:rFonts w:ascii="仿宋_GB2312" w:hAnsi="仿宋_GB2312" w:cs="仿宋_GB2312" w:eastAsia="仿宋_GB2312"/>
              </w:rPr>
              <w:t>3.事件分析：围绕专题事件呈现多维度的 分析，具体需求包括但不限于：事件进展演化：事件最近趋势（图），事件阶段分析（如潜伏期、萌动期、加速期、成熟期，衰退期）展示；事件传播分析：对事件媒体、来源、数量进行分析，并做出红色、橙色、蓝色预警；事件首发媒体分析：对事件首发媒体进行数据分析展示；事件分析可视化展示：发展脉络（图），发展趋势（图），媒体分析（图），事件相关资讯、数据展示；事件报告：系统自动生成事件专题分析报告（Word，Excel）。</w:t>
            </w:r>
          </w:p>
          <w:p>
            <w:pPr>
              <w:pStyle w:val="null3"/>
            </w:pPr>
            <w:r>
              <w:rPr>
                <w:rFonts w:ascii="仿宋_GB2312" w:hAnsi="仿宋_GB2312" w:cs="仿宋_GB2312" w:eastAsia="仿宋_GB2312"/>
              </w:rPr>
              <w:t>4.统计分析：需提供围绕本项目业务数据呈现多维度的 统计图表，体现 媒体账号分析、载体分布、 地图、 指数、地域分布等特点。</w:t>
            </w:r>
          </w:p>
          <w:p>
            <w:pPr>
              <w:pStyle w:val="null3"/>
            </w:pPr>
            <w:r>
              <w:rPr>
                <w:rFonts w:ascii="仿宋_GB2312" w:hAnsi="仿宋_GB2312" w:cs="仿宋_GB2312" w:eastAsia="仿宋_GB2312"/>
              </w:rPr>
              <w:t>5.分类研判：需提供自定义用户分类监测体系，对环境 进行多维度的标签化分类管理。具体需求包括但不限于人物、地域、企业、机构、污染分类等，分类体系支持用户自定义关键词、规则和属性。</w:t>
            </w:r>
          </w:p>
          <w:p>
            <w:pPr>
              <w:pStyle w:val="null3"/>
            </w:pPr>
            <w:r>
              <w:rPr>
                <w:rFonts w:ascii="仿宋_GB2312" w:hAnsi="仿宋_GB2312" w:cs="仿宋_GB2312" w:eastAsia="仿宋_GB2312"/>
              </w:rPr>
              <w:t>6.首页设置：首页可支持模块、列表、标签自定义，跟进用户需求设置时间、关键词、媒介、媒体、属性等条件设置展示模块，便于用户浏览、统计分析与导出。</w:t>
            </w:r>
          </w:p>
          <w:p>
            <w:pPr>
              <w:pStyle w:val="null3"/>
            </w:pPr>
            <w:r>
              <w:rPr>
                <w:rFonts w:ascii="仿宋_GB2312" w:hAnsi="仿宋_GB2312" w:cs="仿宋_GB2312" w:eastAsia="仿宋_GB2312"/>
              </w:rPr>
              <w:t>（二）属地网络信息内容管理系统</w:t>
            </w:r>
          </w:p>
          <w:p>
            <w:pPr>
              <w:pStyle w:val="null3"/>
            </w:pPr>
            <w:r>
              <w:rPr>
                <w:rFonts w:ascii="仿宋_GB2312" w:hAnsi="仿宋_GB2312" w:cs="仿宋_GB2312" w:eastAsia="仿宋_GB2312"/>
              </w:rPr>
              <w:t>实现对官方门户及双微平台发布内容的监管，具体对发布内容中的错别字、标点错误、语序错误、固定表述错误、敏感内容等信息的筛查纠错。</w:t>
            </w:r>
          </w:p>
          <w:p>
            <w:pPr>
              <w:pStyle w:val="null3"/>
            </w:pPr>
            <w:r>
              <w:rPr>
                <w:rFonts w:ascii="仿宋_GB2312" w:hAnsi="仿宋_GB2312" w:cs="仿宋_GB2312" w:eastAsia="仿宋_GB2312"/>
              </w:rPr>
              <w:t>（三）大屏系统平台维护</w:t>
            </w:r>
          </w:p>
          <w:p>
            <w:pPr>
              <w:pStyle w:val="null3"/>
            </w:pPr>
            <w:r>
              <w:rPr>
                <w:rFonts w:ascii="仿宋_GB2312" w:hAnsi="仿宋_GB2312" w:cs="仿宋_GB2312" w:eastAsia="仿宋_GB2312"/>
              </w:rPr>
              <w:t>全年对办公室 监测大屏系统进行定期升级和维护，确保系统长期处于最新版本。</w:t>
            </w:r>
          </w:p>
          <w:p>
            <w:pPr>
              <w:pStyle w:val="null3"/>
            </w:pPr>
            <w:r>
              <w:rPr>
                <w:rFonts w:ascii="仿宋_GB2312" w:hAnsi="仿宋_GB2312" w:cs="仿宋_GB2312" w:eastAsia="仿宋_GB2312"/>
              </w:rPr>
              <w:t>（四）增值服务</w:t>
            </w:r>
          </w:p>
          <w:p>
            <w:pPr>
              <w:pStyle w:val="null3"/>
            </w:pPr>
            <w:r>
              <w:rPr>
                <w:rFonts w:ascii="仿宋_GB2312" w:hAnsi="仿宋_GB2312" w:cs="仿宋_GB2312" w:eastAsia="仿宋_GB2312"/>
              </w:rPr>
              <w:t>（1）人工定制服务：指派专人驻场开展工作，要求有三年以上 编辑从业经验，确保到岗前进行系统的培训，能熟练操作 系统、关键词库搭建修改维护的相关前端和后台应用。保证新关键词第一时间的添加，使信息搜集更完善。合同签订后立即到岗开展工作，并提供24小时专职负责监测相关 。负责日常 简报制作（包括日报、周报、半年报、专报、年报服务等），驻场人员对每日的视频新闻进行人工监控及时预警。</w:t>
            </w:r>
          </w:p>
          <w:p>
            <w:pPr>
              <w:pStyle w:val="null3"/>
            </w:pPr>
            <w:r>
              <w:rPr>
                <w:rFonts w:ascii="仿宋_GB2312" w:hAnsi="仿宋_GB2312" w:cs="仿宋_GB2312" w:eastAsia="仿宋_GB2312"/>
              </w:rPr>
              <w:t>（2）专家服务：专业的 危机应对经验的签约 领域专家（1—2名），并具有环保类的危机应对经验。针对用户关注的特定重大 新闻事件或人物提供可参考性指导意见以及点评，协助用户引导化解 ，并持续关注 后续发展。提供周、月、季度的风险分析研判建议。提供突发事件分析研判建议。制定全省 处置标准化工作手册或指南，提供明确的应对方法，答复口径模版。指导并设置全省生态环境系统 工作业务培训。</w:t>
            </w:r>
          </w:p>
          <w:p>
            <w:pPr>
              <w:pStyle w:val="null3"/>
            </w:pPr>
            <w:r>
              <w:rPr>
                <w:rFonts w:ascii="仿宋_GB2312" w:hAnsi="仿宋_GB2312" w:cs="仿宋_GB2312" w:eastAsia="仿宋_GB2312"/>
              </w:rPr>
              <w:t>（3）危机应对服务：出现重大 事件后，根据需要提供 应对咨询、策划服务。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 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 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{{未填写}}</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服务及履约能力1</w:t>
            </w:r>
          </w:p>
        </w:tc>
        <w:tc>
          <w:tcPr>
            <w:tcW w:type="dxa" w:w="2492"/>
          </w:tcPr>
          <w:p>
            <w:pPr>
              <w:pStyle w:val="null3"/>
            </w:pPr>
            <w:r>
              <w:rPr>
                <w:rFonts w:ascii="仿宋_GB2312" w:hAnsi="仿宋_GB2312" w:cs="仿宋_GB2312" w:eastAsia="仿宋_GB2312"/>
              </w:rPr>
              <w:t>1.根据现行的企业日常管理的团队健全程度和 业务管理制度进行评分，具有履行合同所必须的专业技术团队，按其响应程度计15-0分。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服务及履约能力2</w:t>
            </w:r>
          </w:p>
        </w:tc>
        <w:tc>
          <w:tcPr>
            <w:tcW w:type="dxa" w:w="2492"/>
          </w:tcPr>
          <w:p>
            <w:pPr>
              <w:pStyle w:val="null3"/>
            </w:pPr>
            <w:r>
              <w:rPr>
                <w:rFonts w:ascii="仿宋_GB2312" w:hAnsi="仿宋_GB2312" w:cs="仿宋_GB2312" w:eastAsia="仿宋_GB2312"/>
              </w:rPr>
              <w:t>2.根据供应商的服务机制、管理制度、工作流程、服务保障以及服务措施是否完善、是否能够充分保证达到项目实施目的。由磋商小组根据响应情况赋15-0分。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技术要求1</w:t>
            </w:r>
          </w:p>
        </w:tc>
        <w:tc>
          <w:tcPr>
            <w:tcW w:type="dxa" w:w="2492"/>
          </w:tcPr>
          <w:p>
            <w:pPr>
              <w:pStyle w:val="null3"/>
            </w:pPr>
            <w:r>
              <w:rPr>
                <w:rFonts w:ascii="仿宋_GB2312" w:hAnsi="仿宋_GB2312" w:cs="仿宋_GB2312" w:eastAsia="仿宋_GB2312"/>
              </w:rPr>
              <w:t>针对本项目的理解，提供具体实施方案，方案切合实际，针对性强，可行性强 ，（包含服务流程、人员安排、时间安排等）进行综合评定，优秀在20-15分范围内评分、良好在15-8 分范围内评分、一般在8-0分范围内评分。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技术要求2</w:t>
            </w:r>
          </w:p>
        </w:tc>
        <w:tc>
          <w:tcPr>
            <w:tcW w:type="dxa" w:w="2492"/>
          </w:tcPr>
          <w:p>
            <w:pPr>
              <w:pStyle w:val="null3"/>
            </w:pPr>
            <w:r>
              <w:rPr>
                <w:rFonts w:ascii="仿宋_GB2312" w:hAnsi="仿宋_GB2312" w:cs="仿宋_GB2312" w:eastAsia="仿宋_GB2312"/>
              </w:rPr>
              <w:t>根据供应商对“磋商内容及要求”的响应程度评分。根据响应程度优良计15-10分，一般计10-5分，差计 5-0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技术要求3</w:t>
            </w:r>
          </w:p>
        </w:tc>
        <w:tc>
          <w:tcPr>
            <w:tcW w:type="dxa" w:w="2492"/>
          </w:tcPr>
          <w:p>
            <w:pPr>
              <w:pStyle w:val="null3"/>
            </w:pPr>
            <w:r>
              <w:rPr>
                <w:rFonts w:ascii="仿宋_GB2312" w:hAnsi="仿宋_GB2312" w:cs="仿宋_GB2312" w:eastAsia="仿宋_GB2312"/>
              </w:rPr>
              <w:t>根据对供应商项目实施方案的进度控制措施、质量控制措施等进行综合分析比较评分，得分10-0分。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技术要求4</w:t>
            </w:r>
          </w:p>
        </w:tc>
        <w:tc>
          <w:tcPr>
            <w:tcW w:type="dxa" w:w="2492"/>
          </w:tcPr>
          <w:p>
            <w:pPr>
              <w:pStyle w:val="null3"/>
            </w:pPr>
            <w:r>
              <w:rPr>
                <w:rFonts w:ascii="仿宋_GB2312" w:hAnsi="仿宋_GB2312" w:cs="仿宋_GB2312" w:eastAsia="仿宋_GB2312"/>
              </w:rPr>
              <w:t>合理化建议具有积极意义，具备可行性，计6-3分；提出合理化建议，但有欠缺，计3-1分，没有合理化建议， 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2022年至今从事过类似相关业绩，一个得3分，最多9 分。业绩证明（以合同或者中标通知书为准，须在响应文件中附扫描件加盖单位公章，弄虚作假者取消其磋商资格）。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