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版本号：SXXDDL-【2025】017.1B120250424001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北区教学楼空调线路施工项目(二次)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SXXDDL-【2025】017.1B1</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北区教学楼空调线路施工项目(二次)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SXXDDL-【2025】017.1B1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北区教学楼空调线路施工项目(二次)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为北区教学2号、3号、4号楼未安装的空调的教室，教师休息室、小型实验室等房间敷设专用的空调线路，并同时配备空调管理系统，按照设计图纸完成施工。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采购包1（北区教学楼空调线路施工项目）：属于专门面向小微企业采购。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1、企业资质：供应商须具备有效的建筑机电安装工程专业承包三级及以上资质，具有合法有效的安全生产许可证。</w:t>
      </w:r>
    </w:p>
    <w:p>
      <w:pPr>
        <w:pStyle w:val="null3"/>
      </w:pPr>
      <w:r>
        <w:rPr>
          <w:rFonts w:ascii="仿宋_GB2312" w:hAnsi="仿宋_GB2312" w:cs="仿宋_GB2312" w:eastAsia="仿宋_GB2312"/>
        </w:rPr>
        <w:t>2、拟派项目经理：拟派本项目的项目经理须具有机电工程专业二级及以上注册建造师资格、具有有效的安全生产考核合格证书，在本单位注册且无在建项目。</w:t>
      </w:r>
    </w:p>
    <w:p>
      <w:pPr>
        <w:pStyle w:val="null3"/>
      </w:pPr>
      <w:r>
        <w:rPr>
          <w:rFonts w:ascii="仿宋_GB2312" w:hAnsi="仿宋_GB2312" w:cs="仿宋_GB2312" w:eastAsia="仿宋_GB2312"/>
        </w:rPr>
        <w:t>3、其他要求：供应商及拟派项目经理信息应在“陕西省住房和城乡建设厅官网”（http://js.shaanxi.gov.cn/）可查询。</w:t>
      </w:r>
    </w:p>
    <w:p>
      <w:pPr>
        <w:pStyle w:val="null3"/>
      </w:pPr>
      <w:r>
        <w:rPr>
          <w:rFonts w:ascii="仿宋_GB2312" w:hAnsi="仿宋_GB2312" w:cs="仿宋_GB2312" w:eastAsia="仿宋_GB2312"/>
        </w:rPr>
        <w:t>4、法定代表人身份证明或法定代表人授权书：法定代表人直接参加磋商的，须提供法定代表人身份证明及身份证；法定代表人授权他人参加的，须提供法定代表人授权书（附法定代表人身份证、被授权人身份证、被授权人劳动合同及磋商截止时间前半年至少一个月的社保缴纳证明复印件）。供应商需在项目电子化交易系统中按要求上传相应证明文件并进行电子签章。</w:t>
      </w:r>
    </w:p>
    <w:p>
      <w:pPr>
        <w:pStyle w:val="null3"/>
      </w:pPr>
      <w:r>
        <w:rPr>
          <w:rFonts w:ascii="仿宋_GB2312" w:hAnsi="仿宋_GB2312" w:cs="仿宋_GB2312" w:eastAsia="仿宋_GB2312"/>
        </w:rPr>
        <w:t>5、信用查询：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赵二庆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本采购包履约保证金为合同金额的3.0%</w:t>
            </w:r>
          </w:p>
          <w:p>
            <w:pPr>
              <w:pStyle w:val="null3"/>
            </w:pPr>
            <w:r>
              <w:rPr>
                <w:rFonts w:ascii="仿宋_GB2312" w:hAnsi="仿宋_GB2312" w:cs="仿宋_GB2312" w:eastAsia="仿宋_GB2312"/>
              </w:rPr>
              <w:t>说明：签订合同前，乙方向甲方缴纳合同约定总金额的百分之三作为履约保证金，通过工程验收后转为质保金，质保期满且乙方质保期间无任何违约行为，甲方将该履约保证金无息退还至乙方账户。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规定的招标代理服务收费标准，按照中标金额差额定率累进法计算。由成交供应商在领取成交通知书前进行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踏勘时间：2025-04-30 10:00:00</w:t>
            </w:r>
          </w:p>
          <w:p>
            <w:pPr>
              <w:pStyle w:val="null3"/>
              <w:ind w:firstLine="975"/>
            </w:pPr>
            <w:r>
              <w:rPr>
                <w:rFonts w:ascii="仿宋_GB2312" w:hAnsi="仿宋_GB2312" w:cs="仿宋_GB2312" w:eastAsia="仿宋_GB2312"/>
              </w:rPr>
              <w:t>踏勘地点：北校区</w:t>
            </w:r>
          </w:p>
          <w:p>
            <w:pPr>
              <w:pStyle w:val="null3"/>
              <w:ind w:firstLine="975"/>
            </w:pPr>
            <w:r>
              <w:rPr>
                <w:rFonts w:ascii="仿宋_GB2312" w:hAnsi="仿宋_GB2312" w:cs="仿宋_GB2312" w:eastAsia="仿宋_GB2312"/>
              </w:rPr>
              <w:t>联系人：严波</w:t>
            </w:r>
          </w:p>
          <w:p>
            <w:pPr>
              <w:pStyle w:val="null3"/>
              <w:ind w:firstLine="975"/>
            </w:pPr>
            <w:r>
              <w:rPr>
                <w:rFonts w:ascii="仿宋_GB2312" w:hAnsi="仿宋_GB2312" w:cs="仿宋_GB2312" w:eastAsia="仿宋_GB2312"/>
              </w:rPr>
              <w:t>联系电话号码：13991827929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一、验收标准：①《民用建筑电气设计标准》 GB51348-2019；②《建筑设计防火规范》（2018版） GB 50016-2014；③《供配电系统设计规范》 GB50052-2009；④《通用用电设备配电设计规范》 GB50055-2011；⑤《低压配电设计规范》 GB50054-2011；⑥施工图纸、作法说明、设计变更。</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联系人：郭佳佳、曹静</w:t>
      </w:r>
    </w:p>
    <w:p>
      <w:pPr>
        <w:pStyle w:val="null3"/>
      </w:pPr>
      <w:r>
        <w:rPr>
          <w:rFonts w:ascii="仿宋_GB2312" w:hAnsi="仿宋_GB2312" w:cs="仿宋_GB2312" w:eastAsia="仿宋_GB2312"/>
        </w:rPr>
        <w:t>联系电话：029-88092915</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1,099,818.89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线路改造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标的名称：线路改造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北区教学楼空调线路施工项目（二次）</w:t>
            </w:r>
          </w:p>
        </w:tc>
        <w:tc>
          <w:tcPr>
            <w:tcW w:type="dxa" w:w="2076"/>
          </w:tcPr>
          <w:p>
            <w:pPr>
              <w:pStyle w:val="null3"/>
              <w:jc w:val="both"/>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详见合同约定。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其他商务要求：（1）工期要求：自合同签订之日起30个日历日内完成全部项目，并交付采购人验收合格。（2）付款方式要求及履约保证金：签合同前乙方向学校缴纳3%履约保证金，竣工验收合格后付至合同总价款的70%，审计后付至审定总价的100%（乙方按国家有关财税规定向甲方开具全额完税发票），3%的履约保证金自动转化为质保金，在工程竣工验收合格2年后，无质量保修缺陷一次性不计息返还。（3）质保期及质保保修要求：1）质保期 2 年；2）质保期保修要求：①属于保修范围和内容的项目，承包人应在接到维修通知后，1 天内派人维修。发生紧急抢修事故(如上水管跑水、爆裂，供电设施漏、断电等)，承包人应在接到事故通知后4小时内到达事故现场并于24小时内完成应急维修。3.3.2工程验收的主要依据、标准及要求：①《民用建筑电气设计标准》 GB51348-2019；②《建筑设计防火规范》（2018版） GB 50016-2014；③《供配电系统设计规范》 GB50052-2009；④《通用用电设备配电设计规范》 GB50055-2011；⑤《低压配电设计规范》 GB50054-2011。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供应商需在项目电子化交易系统中按要求填写《响应函》完成承诺并进行电子签章。并在响应文件中附相关证明材料</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提供经审计的2023年或2024年财务报告，包括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供应商须具备有效的建筑机电安装工程专业承包三级及以上资质，具有合法有效的安全生产许可证。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拟派本项目的项目经理须具有机电工程专业二级及以上注册建造师资格、具有有效的安全生产考核合格证书，在本单位注册且无在建项目。</w:t>
            </w:r>
          </w:p>
        </w:tc>
        <w:tc>
          <w:tcPr>
            <w:tcW w:type="dxa" w:w="1661"/>
          </w:tcPr>
          <w:p>
            <w:pPr>
              <w:pStyle w:val="null3"/>
            </w:pPr>
            <w:r>
              <w:rPr>
                <w:rFonts w:ascii="仿宋_GB2312" w:hAnsi="仿宋_GB2312" w:cs="仿宋_GB2312" w:eastAsia="仿宋_GB2312"/>
              </w:rPr>
              <w:t>项目管理机构组成表 标的清单 主要人员简历表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供应商及拟派项目经理信息应在“陕西省住房和城乡建设厅官网”（http://js.shaanxi.gov.cn/）可查询。</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提供法定代表人身份证明及身份证；法定代表人授权他人参加的，须提供法定代表人授权书（附法定代表人身份证、被授权人身份证、被授权人劳动合同及磋商截止时间前半年至少一个月的社保缴纳证明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响应文件封面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项目管理机构组成表 残疾人福利性单位声明函 报价函 标的清单 施工组织设计方案 类似业绩 陕西省政府采购供应商拒绝政府采购领域商业贿赂承诺书 响应函 主要人员简历表 供应商资格证明文件 主要材料设备表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项目管理机构组成表 残疾人福利性单位声明函 报价函 施工组织设计方案 类似业绩 陕西省政府采购供应商拒绝政府采购领域商业贿赂承诺书 标的清单 响应函 主要人员简历表 供应商资格证明文件 主要材料设备表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施工工期</w:t>
            </w:r>
          </w:p>
        </w:tc>
        <w:tc>
          <w:tcPr>
            <w:tcW w:type="dxa" w:w="3322"/>
          </w:tcPr>
          <w:p>
            <w:pPr>
              <w:pStyle w:val="null3"/>
            </w:pPr>
            <w:r>
              <w:rPr>
                <w:rFonts w:ascii="仿宋_GB2312" w:hAnsi="仿宋_GB2312" w:cs="仿宋_GB2312" w:eastAsia="仿宋_GB2312"/>
              </w:rPr>
              <w:t>施工工期是否按磋商文件要求响应</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付款方式要求及履约保证金</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质保期及质保保修要求</w:t>
            </w:r>
          </w:p>
        </w:tc>
        <w:tc>
          <w:tcPr>
            <w:tcW w:type="dxa" w:w="3322"/>
          </w:tcPr>
          <w:p>
            <w:pPr>
              <w:pStyle w:val="null3"/>
            </w:pPr>
            <w:r>
              <w:rPr>
                <w:rFonts w:ascii="仿宋_GB2312" w:hAnsi="仿宋_GB2312" w:cs="仿宋_GB2312" w:eastAsia="仿宋_GB2312"/>
              </w:rPr>
              <w:t>质保期是否符合磋商文件要求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响应有效期是否符合磋商文件要求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详细评审40.0000分</w:t>
            </w:r>
          </w:p>
          <w:p>
            <w:pPr>
              <w:pStyle w:val="null3"/>
            </w:pPr>
            <w:r>
              <w:rPr>
                <w:rFonts w:ascii="仿宋_GB2312" w:hAnsi="仿宋_GB2312" w:cs="仿宋_GB2312" w:eastAsia="仿宋_GB2312"/>
              </w:rPr>
              <w:t>报价得分60.0000分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根据供应商针对项目工期紧、技术标准高，制定全面、科学的施工方案： 方案满足项目要求，合理性、针对性强得（3.5-5]分； 方案有一定的可行性，基本满足项目要求，具有一定的合理性、针对性得（2-3.5]分； 方案基本可行，合理性、针对性较差的得[1-2]分；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根据供应商针对本项目特点制定切实可行的质量管理体系及保证措施进行评审：质量目标明确，管理体系健全，措施全面，得（2-2.5]分；质量目标基本明确，管理体系较全，保证措施较全面，得（1.5-2]分；质量目标不明确，管理体系不全，保证措施不利，得[1-1.5]分；未提供不得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安全文明施工保证措施</w:t>
            </w:r>
          </w:p>
        </w:tc>
        <w:tc>
          <w:tcPr>
            <w:tcW w:type="dxa" w:w="2492"/>
          </w:tcPr>
          <w:p>
            <w:pPr>
              <w:pStyle w:val="null3"/>
            </w:pPr>
            <w:r>
              <w:rPr>
                <w:rFonts w:ascii="仿宋_GB2312" w:hAnsi="仿宋_GB2312" w:cs="仿宋_GB2312" w:eastAsia="仿宋_GB2312"/>
              </w:rPr>
              <w:t>供应商结合校区施工环境、特点，制定出有针对性对于学生、校区家属的安全生产保证措施、文明施工保证措施的内容进行评审： 措施科学合理、满足项目要求，合理性、针对性强得（2-2.5]分； 措施有一定的可行性，基本满足项目要求，具有一定的合理性、针对性得（1.5-2]分；措施基本可行，合理性、针对性较差的得[1-1.5]分； 未提供的不得分。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环境保护、防尘降噪措施及相关应急措施</w:t>
            </w:r>
          </w:p>
        </w:tc>
        <w:tc>
          <w:tcPr>
            <w:tcW w:type="dxa" w:w="2492"/>
          </w:tcPr>
          <w:p>
            <w:pPr>
              <w:pStyle w:val="null3"/>
            </w:pPr>
            <w:r>
              <w:rPr>
                <w:rFonts w:ascii="仿宋_GB2312" w:hAnsi="仿宋_GB2312" w:cs="仿宋_GB2312" w:eastAsia="仿宋_GB2312"/>
              </w:rPr>
              <w:t>供应商结合校区施工环境、特点，制定出有针对性对于学生、校区家属的环保施工保证措施、防尘降噪保证措施和相关应急措施（突然停电、火灾等）的内容进行评审： 措施科学合理、满足项目要求，合理性、针对性强得（2-2.5]分； 措施有一定的可行性，基本满足项目要求，具有一定的合理性、针对性得（1.5-2]分；措施基本可行，合理性、针对性较差的得[1-1.5]分； 未提供的不得分。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施工进度及工期目标保障措施（施工进度表或施工网络图）</w:t>
            </w:r>
          </w:p>
        </w:tc>
        <w:tc>
          <w:tcPr>
            <w:tcW w:type="dxa" w:w="2492"/>
          </w:tcPr>
          <w:p>
            <w:pPr>
              <w:pStyle w:val="null3"/>
            </w:pPr>
            <w:r>
              <w:rPr>
                <w:rFonts w:ascii="仿宋_GB2312" w:hAnsi="仿宋_GB2312" w:cs="仿宋_GB2312" w:eastAsia="仿宋_GB2312"/>
              </w:rPr>
              <w:t>保障措施全面，施工计划网络图或横道图合理，得（2-2.5]分；保障措施较全面，施工计划网络图或横道图较合理，得（1.5-2]分；保障措施不利，施工计划网络图或横道图不合理，得[1-1.5]分；未提供不得分。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人员专业配备齐全、数量合理，得（3.5-5]分；人员专业配备较齐全、数量较合理，得（2-3.5]分；人员专业配备不全、数量不合理，得[1-2]分；（提供人员身份证、相应专业职称证书、上岗证或注册证书，其中安全员必须提供安全员C证）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主要材料设备</w:t>
            </w:r>
          </w:p>
        </w:tc>
        <w:tc>
          <w:tcPr>
            <w:tcW w:type="dxa" w:w="2492"/>
          </w:tcPr>
          <w:p>
            <w:pPr>
              <w:pStyle w:val="null3"/>
            </w:pPr>
            <w:r>
              <w:rPr>
                <w:rFonts w:ascii="仿宋_GB2312" w:hAnsi="仿宋_GB2312" w:cs="仿宋_GB2312" w:eastAsia="仿宋_GB2312"/>
              </w:rPr>
              <w:t>磋商小组根据供应商拟投入本项目的主要材料设备品牌、规格、型号、质量标准、质保服务进行综合评审：①质量标准完全符合采购人要求得3分，每缺少一项扣0.5分，扣完为止（提供检测报告或其他相关证明材料）；②品牌业绩：2022年1月至提交响应文件截止时间前针对所有主要材料设备具有同类项目案例，每提供一个案例得2分，最多得4分。③质保服务（3分）：主材质保期≥5年，每少1年扣1分。（提供承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主要材料设备表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供应商提供自2022年4月1日至本项目响应文件递交截止时间前已承接的类似业绩证明材料，每提供1项得2分，最多得10分。未提供的不得分。 评审依据：提供施工合同复印件，时间以合同签订时间为准。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磋商报价得分=（磋商基准价/最后磋商报价）×价格权值×100 （本项目为专门面向中小企业采购的采购项目。因此，不再执行价格评审优惠扶持政策。）</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详见附件：施工组织设计方案</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详见附件：主要材料设备表</w:t>
      </w:r>
    </w:p>
    <w:p>
      <w:pPr>
        <w:pStyle w:val="null3"/>
        <w:ind w:firstLine="960"/>
      </w:pPr>
      <w:r>
        <w:rPr>
          <w:rFonts w:ascii="仿宋_GB2312" w:hAnsi="仿宋_GB2312" w:cs="仿宋_GB2312" w:eastAsia="仿宋_GB2312"/>
        </w:rPr>
        <w:t>详见附件：类似业绩</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