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版本号：SXKR2025020620250424001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大气污染治理专项行动监督帮扶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SXKR20250206</w:t>
      </w:r>
      <w:r>
        <w:br/>
      </w:r>
      <w:r>
        <w:br/>
      </w:r>
      <w:r>
        <w:br/>
      </w:r>
    </w:p>
    <w:p>
      <w:pPr>
        <w:pStyle w:val="null3"/>
        <w:jc w:val="center"/>
        <w:outlineLvl w:val="2"/>
      </w:pPr>
      <w:r>
        <w:rPr>
          <w:rFonts w:ascii="仿宋_GB2312" w:hAnsi="仿宋_GB2312" w:cs="仿宋_GB2312" w:eastAsia="仿宋_GB2312"/>
          <w:sz w:val="28"/>
          <w:b/>
        </w:rPr>
        <w:t>陕西省生态环境执法总队</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陕西省生态环境执法总队</w:t>
      </w:r>
      <w:r>
        <w:rPr>
          <w:rFonts w:ascii="仿宋_GB2312" w:hAnsi="仿宋_GB2312" w:cs="仿宋_GB2312" w:eastAsia="仿宋_GB2312"/>
        </w:rPr>
        <w:t>委托，拟对</w:t>
      </w:r>
      <w:r>
        <w:rPr>
          <w:rFonts w:ascii="仿宋_GB2312" w:hAnsi="仿宋_GB2312" w:cs="仿宋_GB2312" w:eastAsia="仿宋_GB2312"/>
        </w:rPr>
        <w:t>大气污染治理专项行动监督帮扶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SXKR20250206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大气污染治理专项行动监督帮扶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切实推动大气污染治理专项行动平稳有序实施，本项目拟确定供应商为采购人提供执法人员在关中各市（区）开展常态化监督帮扶（交叉执法帮扶）工作，以及重型货车和机动车排放领域第三方机构驻点监督帮扶业务用车保障服务工作所需的执法车辆服务。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采购包1（大气污染治理专项行动监督帮扶业务用车保障服务）：属于专门面向中小企业采购。</w:t>
      </w:r>
    </w:p>
    <w:p>
      <w:pPr>
        <w:pStyle w:val="null3"/>
      </w:pPr>
      <w:r>
        <w:rPr>
          <w:rFonts w:ascii="仿宋_GB2312" w:hAnsi="仿宋_GB2312" w:cs="仿宋_GB2312" w:eastAsia="仿宋_GB2312"/>
        </w:rPr>
        <w:t>采购包2（重型货车和机动车排放领域第三方机构驻点监督帮扶业务用车保障服务）：属于专门面向中小企业采购。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p>
      <w:pPr>
        <w:pStyle w:val="null3"/>
      </w:pPr>
      <w:r>
        <w:rPr>
          <w:rFonts w:ascii="仿宋_GB2312" w:hAnsi="仿宋_GB2312" w:cs="仿宋_GB2312" w:eastAsia="仿宋_GB2312"/>
        </w:rPr>
        <w:t>3、是否接受联合体投标：本项目不接受联合体投标。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p>
      <w:pPr>
        <w:pStyle w:val="null3"/>
      </w:pPr>
      <w:r>
        <w:rPr>
          <w:rFonts w:ascii="仿宋_GB2312" w:hAnsi="仿宋_GB2312" w:cs="仿宋_GB2312" w:eastAsia="仿宋_GB2312"/>
        </w:rPr>
        <w:t>3、是否接受联合体投标：本项目不接受联合体投标。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陕西省生态环境执法总队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陕西省西安市西影路106号陕西环保综合办公大楼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姚瑶、贺玉发、王昭、刘昆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13379227713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p>
          <w:p>
            <w:pPr>
              <w:pStyle w:val="null3"/>
            </w:pPr>
            <w:r>
              <w:rPr>
                <w:rFonts w:ascii="仿宋_GB2312" w:hAnsi="仿宋_GB2312" w:cs="仿宋_GB2312" w:eastAsia="仿宋_GB2312"/>
              </w:rPr>
              <w:t>采购包2：890,000.00元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采购包1保证金金额：10,005.00元</w:t>
            </w:r>
          </w:p>
          <w:p>
            <w:pPr>
              <w:pStyle w:val="null3"/>
            </w:pPr>
            <w:r>
              <w:rPr>
                <w:rFonts w:ascii="仿宋_GB2312" w:hAnsi="仿宋_GB2312" w:cs="仿宋_GB2312" w:eastAsia="仿宋_GB2312"/>
              </w:rPr>
              <w:t>采购包2保证金金额：10,005.00元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各采购包的预算金额作为收费的计算基数，收取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857号）的有关规定向采购代理机构一次付清代理服务费，各采购包收费不足6000元按6000元计取。 （招标代理服务费在缴付时需备注xxxx项目简称第X包招标代理服务费。）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陕西省生态环境执法总队</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陕西省生态环境执法总队</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陕西省生态环境执法总队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联系人：姚瑶、贺玉发</w:t>
      </w:r>
    </w:p>
    <w:p>
      <w:pPr>
        <w:pStyle w:val="null3"/>
      </w:pPr>
      <w:r>
        <w:rPr>
          <w:rFonts w:ascii="仿宋_GB2312" w:hAnsi="仿宋_GB2312" w:cs="仿宋_GB2312" w:eastAsia="仿宋_GB2312"/>
        </w:rPr>
        <w:t>联系电话：13379227713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推动大气污染治理专项行动平稳有序实施，本项目拟确定供应商为采购人提供执法人员在关中各市（区）开展常态化监督帮扶（交叉执法帮扶）工作，以及重型货车和机动车排放领域第三方机构驻点监督帮扶业务用车保障服务工作所需的执法车辆服务。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大气污染治理专项行动监督帮扶业务用车保障服务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890,000.00</w:t>
      </w:r>
    </w:p>
    <w:p>
      <w:pPr>
        <w:pStyle w:val="null3"/>
      </w:pPr>
      <w:r>
        <w:rPr>
          <w:rFonts w:ascii="仿宋_GB2312" w:hAnsi="仿宋_GB2312" w:cs="仿宋_GB2312" w:eastAsia="仿宋_GB2312"/>
        </w:rPr>
        <w:t>采购包最高限价（元）: 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重型货车和机动车排放领域第三方机构驻点监督帮扶业务用车保障服务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标的名称：大气污染治理专项行动监督帮扶业务用车保障服务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4"/>
                <w:b/>
              </w:rPr>
              <w:t>一、项目概况</w:t>
            </w:r>
          </w:p>
          <w:p>
            <w:pPr>
              <w:pStyle w:val="null3"/>
              <w:ind w:firstLine="400"/>
            </w:pPr>
            <w:r>
              <w:rPr>
                <w:rFonts w:ascii="仿宋_GB2312" w:hAnsi="仿宋_GB2312" w:cs="仿宋_GB2312" w:eastAsia="仿宋_GB2312"/>
                <w:sz w:val="24"/>
              </w:rPr>
              <w:t>为切实推动大气污染治理专项行动平稳有序实施，本项目拟确定</w:t>
            </w:r>
            <w:r>
              <w:rPr>
                <w:rFonts w:ascii="仿宋_GB2312" w:hAnsi="仿宋_GB2312" w:cs="仿宋_GB2312" w:eastAsia="仿宋_GB2312"/>
                <w:sz w:val="24"/>
              </w:rPr>
              <w:t>1家供应商，为采购人提供执法人员在关中各市（区）开展常态化监督帮扶（交叉执法帮扶）工作所需的车辆服务。</w:t>
            </w:r>
          </w:p>
          <w:p>
            <w:pPr>
              <w:pStyle w:val="null3"/>
            </w:pPr>
            <w:r>
              <w:rPr>
                <w:rFonts w:ascii="仿宋_GB2312" w:hAnsi="仿宋_GB2312" w:cs="仿宋_GB2312" w:eastAsia="仿宋_GB2312"/>
                <w:sz w:val="24"/>
                <w:b/>
              </w:rPr>
              <w:t>二、服务要求</w:t>
            </w:r>
            <w:r>
              <w:br/>
            </w:r>
            <w:r>
              <w:rPr>
                <w:rFonts w:ascii="仿宋_GB2312" w:hAnsi="仿宋_GB2312" w:cs="仿宋_GB2312" w:eastAsia="仿宋_GB2312"/>
                <w:sz w:val="24"/>
              </w:rPr>
              <w:t>（一）车辆要求</w:t>
            </w:r>
          </w:p>
          <w:p>
            <w:pPr>
              <w:pStyle w:val="null3"/>
              <w:ind w:firstLine="400"/>
            </w:pPr>
            <w:r>
              <w:rPr>
                <w:rFonts w:ascii="仿宋_GB2312" w:hAnsi="仿宋_GB2312" w:cs="仿宋_GB2312" w:eastAsia="仿宋_GB2312"/>
                <w:sz w:val="24"/>
              </w:rPr>
              <w:t>1.数量要求：</w:t>
            </w:r>
            <w:r>
              <w:rPr>
                <w:rFonts w:ascii="仿宋_GB2312" w:hAnsi="仿宋_GB2312" w:cs="仿宋_GB2312" w:eastAsia="仿宋_GB2312"/>
                <w:sz w:val="24"/>
              </w:rPr>
              <w:t>供应商提供</w:t>
            </w:r>
            <w:r>
              <w:rPr>
                <w:rFonts w:ascii="仿宋_GB2312" w:hAnsi="仿宋_GB2312" w:cs="仿宋_GB2312" w:eastAsia="仿宋_GB2312"/>
                <w:sz w:val="24"/>
              </w:rPr>
              <w:t>越野车（或</w:t>
            </w:r>
            <w:r>
              <w:rPr>
                <w:rFonts w:ascii="仿宋_GB2312" w:hAnsi="仿宋_GB2312" w:cs="仿宋_GB2312" w:eastAsia="仿宋_GB2312"/>
                <w:sz w:val="24"/>
              </w:rPr>
              <w:t>SUV）和商务车≥8辆，符合安全行驶标准，提供行驶证复印件。</w:t>
            </w:r>
          </w:p>
          <w:p>
            <w:pPr>
              <w:pStyle w:val="null3"/>
              <w:ind w:firstLine="400"/>
            </w:pPr>
            <w:r>
              <w:rPr>
                <w:rFonts w:ascii="仿宋_GB2312" w:hAnsi="仿宋_GB2312" w:cs="仿宋_GB2312" w:eastAsia="仿宋_GB2312"/>
                <w:sz w:val="24"/>
              </w:rPr>
              <w:t>2.保险要求：供应商应按规定为本项目配置的车辆缴纳保险交强险及机动车损失险、第三者责任险（投保保额≥200万元）、座位险等，供应商在车辆保险期满前应及时续保。提供交强险及商业险保险单复印件。</w:t>
            </w:r>
          </w:p>
          <w:p>
            <w:pPr>
              <w:pStyle w:val="null3"/>
              <w:ind w:firstLine="400"/>
            </w:pPr>
            <w:r>
              <w:rPr>
                <w:rFonts w:ascii="仿宋_GB2312" w:hAnsi="仿宋_GB2312" w:cs="仿宋_GB2312" w:eastAsia="仿宋_GB2312"/>
                <w:sz w:val="24"/>
              </w:rPr>
              <w:t>3.随车服务人员</w:t>
            </w:r>
            <w:r>
              <w:rPr>
                <w:rFonts w:ascii="仿宋_GB2312" w:hAnsi="仿宋_GB2312" w:cs="仿宋_GB2312" w:eastAsia="仿宋_GB2312"/>
                <w:sz w:val="24"/>
              </w:rPr>
              <w:t>需严格按照执法工作及任务需求，满足</w:t>
            </w:r>
            <w:r>
              <w:rPr>
                <w:rFonts w:ascii="仿宋_GB2312" w:hAnsi="仿宋_GB2312" w:cs="仿宋_GB2312" w:eastAsia="仿宋_GB2312"/>
                <w:sz w:val="24"/>
              </w:rPr>
              <w:t>执法</w:t>
            </w:r>
            <w:r>
              <w:rPr>
                <w:rFonts w:ascii="仿宋_GB2312" w:hAnsi="仿宋_GB2312" w:cs="仿宋_GB2312" w:eastAsia="仿宋_GB2312"/>
                <w:sz w:val="24"/>
              </w:rPr>
              <w:t>用车保障需根据工作及任务需要随时出车</w:t>
            </w:r>
            <w:r>
              <w:rPr>
                <w:rFonts w:ascii="仿宋_GB2312" w:hAnsi="仿宋_GB2312" w:cs="仿宋_GB2312" w:eastAsia="仿宋_GB2312"/>
                <w:sz w:val="24"/>
              </w:rPr>
              <w:t>。</w:t>
            </w:r>
          </w:p>
          <w:p>
            <w:pPr>
              <w:pStyle w:val="null3"/>
              <w:ind w:firstLine="400"/>
            </w:pPr>
            <w:r>
              <w:rPr>
                <w:rFonts w:ascii="仿宋_GB2312" w:hAnsi="仿宋_GB2312" w:cs="仿宋_GB2312" w:eastAsia="仿宋_GB2312"/>
                <w:sz w:val="24"/>
              </w:rPr>
              <w:t>4.用量预估：采购人每月开展1轮监督帮扶，全年拟开展12轮次；每轮次需使用车辆10台；每</w:t>
            </w:r>
            <w:r>
              <w:rPr>
                <w:rFonts w:ascii="仿宋_GB2312" w:hAnsi="仿宋_GB2312" w:cs="仿宋_GB2312" w:eastAsia="仿宋_GB2312"/>
                <w:sz w:val="24"/>
              </w:rPr>
              <w:t>轮抽调天数</w:t>
            </w:r>
            <w:r>
              <w:rPr>
                <w:rFonts w:ascii="仿宋_GB2312" w:hAnsi="仿宋_GB2312" w:cs="仿宋_GB2312" w:eastAsia="仿宋_GB2312"/>
                <w:sz w:val="24"/>
              </w:rPr>
              <w:t>15天，单车每日执法活动里程数约150公里（含往返）。由于执法任务的不确定性，具体以实际发生为准，按照车辆租赁天数据实结算。</w:t>
            </w:r>
          </w:p>
          <w:p>
            <w:pPr>
              <w:pStyle w:val="null3"/>
            </w:pPr>
            <w:r>
              <w:rPr>
                <w:rFonts w:ascii="仿宋_GB2312" w:hAnsi="仿宋_GB2312" w:cs="仿宋_GB2312" w:eastAsia="仿宋_GB2312"/>
                <w:sz w:val="24"/>
                <w:b/>
              </w:rPr>
              <w:t>（二）</w:t>
            </w:r>
            <w:r>
              <w:rPr>
                <w:rFonts w:ascii="仿宋_GB2312" w:hAnsi="仿宋_GB2312" w:cs="仿宋_GB2312" w:eastAsia="仿宋_GB2312"/>
                <w:sz w:val="24"/>
              </w:rPr>
              <w:t>服务要求</w:t>
            </w:r>
          </w:p>
          <w:p>
            <w:pPr>
              <w:pStyle w:val="null3"/>
              <w:ind w:firstLine="400"/>
            </w:pPr>
            <w:r>
              <w:rPr>
                <w:rFonts w:ascii="仿宋_GB2312" w:hAnsi="仿宋_GB2312" w:cs="仿宋_GB2312" w:eastAsia="仿宋_GB2312"/>
                <w:sz w:val="24"/>
              </w:rPr>
              <w:t>1.供应商已完成小微型客车租赁备案，提供</w:t>
            </w:r>
            <w:r>
              <w:rPr>
                <w:rFonts w:ascii="仿宋_GB2312" w:hAnsi="仿宋_GB2312" w:cs="仿宋_GB2312" w:eastAsia="仿宋_GB2312"/>
                <w:sz w:val="24"/>
              </w:rPr>
              <w:t>全天候</w:t>
            </w:r>
            <w:r>
              <w:rPr>
                <w:rFonts w:ascii="仿宋_GB2312" w:hAnsi="仿宋_GB2312" w:cs="仿宋_GB2312" w:eastAsia="仿宋_GB2312"/>
                <w:sz w:val="24"/>
              </w:rPr>
              <w:t>24小时服务。</w:t>
            </w:r>
          </w:p>
          <w:p>
            <w:pPr>
              <w:pStyle w:val="null3"/>
              <w:ind w:firstLine="400"/>
            </w:pPr>
            <w:r>
              <w:rPr>
                <w:rFonts w:ascii="仿宋_GB2312" w:hAnsi="仿宋_GB2312" w:cs="仿宋_GB2312" w:eastAsia="仿宋_GB2312"/>
                <w:sz w:val="24"/>
              </w:rPr>
              <w:t>2.提供车辆应当设施设备齐全，车辆状况良好。行驶证、保险手续及相关证件齐全有效，应该按期缴纳该车辆的车船税、保险费、路桥费、年检费等相关税费，确保该车辆达到合法的行驶状态。</w:t>
            </w:r>
          </w:p>
          <w:p>
            <w:pPr>
              <w:pStyle w:val="null3"/>
              <w:ind w:firstLine="400"/>
            </w:pPr>
            <w:r>
              <w:rPr>
                <w:rFonts w:ascii="仿宋_GB2312" w:hAnsi="仿宋_GB2312" w:cs="仿宋_GB2312" w:eastAsia="仿宋_GB2312"/>
                <w:sz w:val="24"/>
              </w:rPr>
              <w:t>3.具备科学先进的车辆信息管理系统。</w:t>
            </w:r>
          </w:p>
          <w:p>
            <w:pPr>
              <w:pStyle w:val="null3"/>
              <w:ind w:firstLine="400"/>
            </w:pPr>
            <w:r>
              <w:rPr>
                <w:rFonts w:ascii="仿宋_GB2312" w:hAnsi="仿宋_GB2312" w:cs="仿宋_GB2312" w:eastAsia="仿宋_GB2312"/>
                <w:sz w:val="24"/>
              </w:rPr>
              <w:t>4.车辆维护保养管理规范，有专业固定的维修保养定点场所。</w:t>
            </w:r>
          </w:p>
          <w:p>
            <w:pPr>
              <w:pStyle w:val="null3"/>
              <w:ind w:firstLine="400"/>
            </w:pPr>
            <w:r>
              <w:rPr>
                <w:rFonts w:ascii="仿宋_GB2312" w:hAnsi="仿宋_GB2312" w:cs="仿宋_GB2312" w:eastAsia="仿宋_GB2312"/>
                <w:sz w:val="24"/>
              </w:rPr>
              <w:t>5.车辆在租赁期间发生故障，无法正常行驶，能及时调换其它车辆确保生产或外业出行正常运行。</w:t>
            </w:r>
          </w:p>
          <w:p>
            <w:pPr>
              <w:pStyle w:val="null3"/>
              <w:ind w:firstLine="400"/>
            </w:pPr>
            <w:r>
              <w:rPr>
                <w:rFonts w:ascii="仿宋_GB2312" w:hAnsi="仿宋_GB2312" w:cs="仿宋_GB2312" w:eastAsia="仿宋_GB2312"/>
                <w:sz w:val="24"/>
              </w:rPr>
              <w:t>6.供应商在基本服务质量要求外，应就车辆的卫生保洁、服务创新、服务质量标准化、应急方案、服务监督、重大活动保障等方面提出服务承诺。</w:t>
            </w:r>
          </w:p>
          <w:p>
            <w:pPr>
              <w:pStyle w:val="null3"/>
              <w:ind w:firstLine="400"/>
            </w:pPr>
            <w:r>
              <w:rPr>
                <w:rFonts w:ascii="仿宋_GB2312" w:hAnsi="仿宋_GB2312" w:cs="仿宋_GB2312" w:eastAsia="仿宋_GB2312"/>
                <w:sz w:val="24"/>
              </w:rPr>
              <w:t>7.在租赁期内，乙方所提供的随车服务人员不超过50岁，应携带驾驶证、身份证等，并保持通讯畅通，按时间要求提前到达指定地点等候，要严格遵守《交通安全法》，安全文明驾驶，遵守国家各项法律法规，并承担由于违法、交通违章肇事等行为所产生的全部责任和损失，以及给使用单位带来的各种经济损失。</w:t>
            </w:r>
          </w:p>
          <w:p>
            <w:pPr>
              <w:pStyle w:val="null3"/>
              <w:ind w:firstLine="400"/>
            </w:pPr>
            <w:r>
              <w:rPr>
                <w:rFonts w:ascii="仿宋_GB2312" w:hAnsi="仿宋_GB2312" w:cs="仿宋_GB2312" w:eastAsia="仿宋_GB2312"/>
                <w:sz w:val="24"/>
              </w:rPr>
              <w:t>8.租赁期间,车辆发生故障时,由乙方进行维修,维修费用由乙方承担,租赁期间,如若发生事故,由乙方提供全部相关证明并处理保险索赔事宜，如保险公司认为不符合赔付条件的和保险公司险种赔偿之外的所有损失由乙方承担。</w:t>
            </w:r>
          </w:p>
          <w:p>
            <w:pPr>
              <w:pStyle w:val="null3"/>
              <w:ind w:firstLine="400"/>
            </w:pPr>
            <w:r>
              <w:rPr>
                <w:rFonts w:ascii="仿宋_GB2312" w:hAnsi="仿宋_GB2312" w:cs="仿宋_GB2312" w:eastAsia="仿宋_GB2312"/>
                <w:sz w:val="24"/>
              </w:rPr>
              <w:t>9.乙方如被授予租赁合同的不允许将合同的全部或部分转包给其他租赁公司或中介组织。</w:t>
            </w:r>
          </w:p>
          <w:p>
            <w:pPr>
              <w:pStyle w:val="null3"/>
              <w:ind w:firstLine="400"/>
            </w:pPr>
            <w:r>
              <w:rPr>
                <w:rFonts w:ascii="仿宋_GB2312" w:hAnsi="仿宋_GB2312" w:cs="仿宋_GB2312" w:eastAsia="仿宋_GB2312"/>
                <w:sz w:val="24"/>
              </w:rPr>
              <w:t>10.具体项目服务要求以采购人与成交供应商签订的服务合同为准。</w:t>
            </w:r>
          </w:p>
          <w:p>
            <w:pPr>
              <w:pStyle w:val="null3"/>
            </w:pPr>
            <w:r>
              <w:rPr>
                <w:rFonts w:ascii="仿宋_GB2312" w:hAnsi="仿宋_GB2312" w:cs="仿宋_GB2312" w:eastAsia="仿宋_GB2312"/>
                <w:sz w:val="24"/>
              </w:rPr>
              <w:t>（三）如发生下列任意一项，采购人有权责令整改并向上级主管部门报备解除合同，并要求供应商赔偿相关损失及承担相关法律责任。</w:t>
            </w:r>
          </w:p>
          <w:p>
            <w:pPr>
              <w:pStyle w:val="null3"/>
              <w:ind w:firstLine="400"/>
            </w:pPr>
            <w:r>
              <w:rPr>
                <w:rFonts w:ascii="仿宋_GB2312" w:hAnsi="仿宋_GB2312" w:cs="仿宋_GB2312" w:eastAsia="仿宋_GB2312"/>
                <w:sz w:val="24"/>
              </w:rPr>
              <w:t>1、服务不合格，拒不改正、影响服务质量或损害国家利益的。</w:t>
            </w:r>
          </w:p>
          <w:p>
            <w:pPr>
              <w:pStyle w:val="null3"/>
              <w:ind w:firstLine="400"/>
            </w:pPr>
            <w:r>
              <w:rPr>
                <w:rFonts w:ascii="仿宋_GB2312" w:hAnsi="仿宋_GB2312" w:cs="仿宋_GB2312" w:eastAsia="仿宋_GB2312"/>
                <w:sz w:val="24"/>
              </w:rPr>
              <w:t>2、因供应商原因导致重大安全事故、伤亡等。</w:t>
            </w:r>
          </w:p>
          <w:p>
            <w:pPr>
              <w:pStyle w:val="null3"/>
              <w:ind w:left="405"/>
            </w:pPr>
            <w:r>
              <w:rPr>
                <w:rFonts w:ascii="仿宋_GB2312" w:hAnsi="仿宋_GB2312" w:cs="仿宋_GB2312" w:eastAsia="仿宋_GB2312"/>
                <w:sz w:val="24"/>
              </w:rPr>
              <w:t>3、发生重大安全事件隐瞒不报。</w:t>
            </w:r>
          </w:p>
          <w:p>
            <w:pPr>
              <w:pStyle w:val="null3"/>
            </w:pPr>
            <w:r>
              <w:rPr>
                <w:rFonts w:ascii="仿宋_GB2312" w:hAnsi="仿宋_GB2312" w:cs="仿宋_GB2312" w:eastAsia="仿宋_GB2312"/>
                <w:sz w:val="24"/>
              </w:rPr>
              <w:t>（四）</w:t>
            </w:r>
            <w:r>
              <w:rPr>
                <w:rFonts w:ascii="仿宋_GB2312" w:hAnsi="仿宋_GB2312" w:cs="仿宋_GB2312" w:eastAsia="仿宋_GB2312"/>
                <w:sz w:val="24"/>
              </w:rPr>
              <w:t>报价要求：</w:t>
            </w:r>
          </w:p>
          <w:p>
            <w:pPr>
              <w:pStyle w:val="null3"/>
              <w:ind w:firstLine="400"/>
            </w:pPr>
            <w:r>
              <w:rPr>
                <w:rFonts w:ascii="仿宋_GB2312" w:hAnsi="仿宋_GB2312" w:cs="仿宋_GB2312" w:eastAsia="仿宋_GB2312"/>
                <w:sz w:val="24"/>
              </w:rPr>
              <w:t>1</w:t>
            </w:r>
            <w:r>
              <w:rPr>
                <w:rFonts w:ascii="仿宋_GB2312" w:hAnsi="仿宋_GB2312" w:cs="仿宋_GB2312" w:eastAsia="仿宋_GB2312"/>
                <w:sz w:val="24"/>
              </w:rPr>
              <w:t>、本项目以越野车（或</w:t>
            </w:r>
            <w:r>
              <w:rPr>
                <w:rFonts w:ascii="仿宋_GB2312" w:hAnsi="仿宋_GB2312" w:cs="仿宋_GB2312" w:eastAsia="仿宋_GB2312"/>
                <w:sz w:val="24"/>
              </w:rPr>
              <w:t>SUV</w:t>
            </w:r>
            <w:r>
              <w:rPr>
                <w:rFonts w:ascii="仿宋_GB2312" w:hAnsi="仿宋_GB2312" w:cs="仿宋_GB2312" w:eastAsia="仿宋_GB2312"/>
                <w:sz w:val="24"/>
              </w:rPr>
              <w:t>）日租单价为评审价。首次报价和最后报价均只填报此车型价格。</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、供应商在分项报价表根据实际提供服务的越野车（或</w:t>
            </w:r>
            <w:r>
              <w:rPr>
                <w:rFonts w:ascii="仿宋_GB2312" w:hAnsi="仿宋_GB2312" w:cs="仿宋_GB2312" w:eastAsia="仿宋_GB2312"/>
                <w:sz w:val="24"/>
              </w:rPr>
              <w:t>SUV</w:t>
            </w:r>
            <w:r>
              <w:rPr>
                <w:rFonts w:ascii="仿宋_GB2312" w:hAnsi="仿宋_GB2312" w:cs="仿宋_GB2312" w:eastAsia="仿宋_GB2312"/>
                <w:sz w:val="24"/>
              </w:rPr>
              <w:t>）和商务车日租单价（元</w:t>
            </w:r>
            <w:r>
              <w:rPr>
                <w:rFonts w:ascii="仿宋_GB2312" w:hAnsi="仿宋_GB2312" w:cs="仿宋_GB2312" w:eastAsia="仿宋_GB2312"/>
                <w:sz w:val="24"/>
              </w:rPr>
              <w:t>/</w:t>
            </w:r>
            <w:r>
              <w:rPr>
                <w:rFonts w:ascii="仿宋_GB2312" w:hAnsi="仿宋_GB2312" w:cs="仿宋_GB2312" w:eastAsia="仿宋_GB2312"/>
                <w:sz w:val="24"/>
              </w:rPr>
              <w:t>辆）进行报价，双方最终根据分项报价表填写的车辆类型和价格据实结算。分项报价表的最终价格，按最后报价表的降价比例同比下浮确定。</w:t>
            </w:r>
            <w:r>
              <w:br/>
            </w: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sz w:val="24"/>
              </w:rPr>
              <w:t>、最后报价和分项报价表均不得超限价。</w:t>
            </w:r>
            <w:r>
              <w:br/>
            </w:r>
            <w:r>
              <w:rPr>
                <w:rFonts w:ascii="仿宋_GB2312" w:hAnsi="仿宋_GB2312" w:cs="仿宋_GB2312" w:eastAsia="仿宋_GB2312"/>
                <w:sz w:val="24"/>
              </w:rPr>
              <w:t xml:space="preserve">  </w:t>
            </w:r>
            <w:r>
              <w:rPr>
                <w:rFonts w:ascii="仿宋_GB2312" w:hAnsi="仿宋_GB2312" w:cs="仿宋_GB2312" w:eastAsia="仿宋_GB2312"/>
                <w:sz w:val="24"/>
              </w:rPr>
              <w:t>4、供应商响应报价超过最高限价或者无报价响应的，响应无效。</w:t>
            </w:r>
            <w:r>
              <w:br/>
            </w:r>
            <w:r>
              <w:rPr>
                <w:rFonts w:ascii="仿宋_GB2312" w:hAnsi="仿宋_GB2312" w:cs="仿宋_GB2312" w:eastAsia="仿宋_GB2312"/>
                <w:sz w:val="24"/>
              </w:rPr>
              <w:t xml:space="preserve">  </w:t>
            </w:r>
            <w:r>
              <w:rPr>
                <w:rFonts w:ascii="仿宋_GB2312" w:hAnsi="仿宋_GB2312" w:cs="仿宋_GB2312" w:eastAsia="仿宋_GB2312"/>
                <w:sz w:val="24"/>
              </w:rPr>
              <w:t>车辆日租单价最高限价如下：</w:t>
            </w:r>
          </w:p>
          <w:tbl>
            <w:tblPr>
              <w:tblInd w:type="dxa" w:w="120"/>
              <w:tblBorders>
                <w:top w:val="none" w:color="000000" w:sz="4"/>
                <w:left w:val="none" w:color="000000" w:sz="4"/>
                <w:bottom w:val="none" w:color="000000" w:sz="4"/>
                <w:right w:val="none" w:color="000000" w:sz="4"/>
                <w:insideH w:val="none"/>
                <w:insideV w:val="none"/>
              </w:tblBorders>
            </w:tblPr>
            <w:tblGrid>
              <w:gridCol w:w="370"/>
              <w:gridCol w:w="1145"/>
              <w:gridCol w:w="1265"/>
            </w:tblGrid>
            <w:tr>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1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车型</w:t>
                  </w:r>
                </w:p>
              </w:tc>
              <w:tc>
                <w:tcPr>
                  <w:tcW w:type="dxa" w:w="1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日租最高限价</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越野车</w:t>
                  </w:r>
                  <w:r>
                    <w:rPr>
                      <w:rFonts w:ascii="仿宋_GB2312" w:hAnsi="仿宋_GB2312" w:cs="仿宋_GB2312" w:eastAsia="仿宋_GB2312"/>
                      <w:sz w:val="24"/>
                    </w:rPr>
                    <w:t>（或</w:t>
                  </w:r>
                  <w:r>
                    <w:rPr>
                      <w:rFonts w:ascii="仿宋_GB2312" w:hAnsi="仿宋_GB2312" w:cs="仿宋_GB2312" w:eastAsia="仿宋_GB2312"/>
                      <w:sz w:val="24"/>
                    </w:rPr>
                    <w:t>SUV）</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1400元/辆</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商务车</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1600元/辆</w:t>
                  </w:r>
                </w:p>
              </w:tc>
            </w:tr>
          </w:tbl>
          <w:p>
            <w:pPr>
              <w:pStyle w:val="null3"/>
              <w:ind w:firstLine="400"/>
            </w:pPr>
            <w:r>
              <w:rPr>
                <w:rFonts w:ascii="仿宋_GB2312" w:hAnsi="仿宋_GB2312" w:cs="仿宋_GB2312" w:eastAsia="仿宋_GB2312"/>
                <w:sz w:val="24"/>
              </w:rPr>
              <w:t>5、租赁车辆按单价（元/日/辆）报价，响应报价应含车辆租赁费用、燃油、公路车辆通行费、停车费用、税金及乘车人人身意外保险等全部费用。</w:t>
            </w:r>
          </w:p>
          <w:p>
            <w:pPr>
              <w:pStyle w:val="null3"/>
            </w:pPr>
            <w:r>
              <w:rPr>
                <w:rFonts w:ascii="仿宋_GB2312" w:hAnsi="仿宋_GB2312" w:cs="仿宋_GB2312" w:eastAsia="仿宋_GB2312"/>
                <w:sz w:val="24"/>
              </w:rPr>
              <w:t>（五）因用车产生的服务人员食宿费用另行由采购人与供应商具体商定。</w:t>
            </w:r>
            <w:r>
              <w:br/>
            </w:r>
            <w:r>
              <w:rPr>
                <w:rFonts w:ascii="仿宋_GB2312" w:hAnsi="仿宋_GB2312" w:cs="仿宋_GB2312" w:eastAsia="仿宋_GB2312"/>
                <w:sz w:val="24"/>
              </w:rPr>
              <w:t>（六）服务期限内，本采购包合同据实结算总金额不得超过采购包总预算，即人民币捌拾万元整（</w:t>
            </w:r>
            <w:r>
              <w:rPr>
                <w:rFonts w:ascii="仿宋_GB2312" w:hAnsi="仿宋_GB2312" w:cs="仿宋_GB2312" w:eastAsia="仿宋_GB2312"/>
                <w:sz w:val="24"/>
              </w:rPr>
              <w:t>¥800000.00元）。</w:t>
            </w:r>
          </w:p>
          <w:p>
            <w:pPr>
              <w:pStyle w:val="null3"/>
              <w:ind w:left="480"/>
            </w:pPr>
            <w:r>
              <w:rPr>
                <w:rFonts w:ascii="仿宋_GB2312" w:hAnsi="仿宋_GB2312" w:cs="仿宋_GB2312" w:eastAsia="仿宋_GB2312"/>
                <w:sz w:val="24"/>
                <w:b/>
              </w:rPr>
              <w:t>三、需要由供应商提供的设计方案、解决方案或者组织方案</w:t>
            </w:r>
            <w:r>
              <w:br/>
            </w:r>
            <w:r>
              <w:rPr>
                <w:rFonts w:ascii="仿宋_GB2312" w:hAnsi="仿宋_GB2312" w:cs="仿宋_GB2312" w:eastAsia="仿宋_GB2312"/>
                <w:sz w:val="24"/>
              </w:rPr>
              <w:t>1、重点难点分析及解决方案</w:t>
            </w:r>
          </w:p>
          <w:p>
            <w:pPr>
              <w:pStyle w:val="null3"/>
              <w:ind w:firstLine="400"/>
            </w:pPr>
            <w:r>
              <w:rPr>
                <w:rFonts w:ascii="仿宋_GB2312" w:hAnsi="仿宋_GB2312" w:cs="仿宋_GB2312" w:eastAsia="仿宋_GB2312"/>
                <w:sz w:val="24"/>
              </w:rPr>
              <w:t>供应商应针对本项目实际情况结合过往经验分析并指出项目实施过程中潜在的困难点、风险点，并能够给出妥善的解决方案。</w:t>
            </w:r>
            <w:r>
              <w:rPr>
                <w:rFonts w:ascii="仿宋_GB2312" w:hAnsi="仿宋_GB2312" w:cs="仿宋_GB2312" w:eastAsia="仿宋_GB2312"/>
                <w:sz w:val="24"/>
              </w:rPr>
              <w:t xml:space="preserve">  </w:t>
            </w:r>
          </w:p>
          <w:p>
            <w:pPr>
              <w:pStyle w:val="null3"/>
              <w:ind w:left="420"/>
            </w:pPr>
            <w:r>
              <w:rPr>
                <w:rFonts w:ascii="仿宋_GB2312" w:hAnsi="仿宋_GB2312" w:cs="仿宋_GB2312" w:eastAsia="仿宋_GB2312"/>
                <w:sz w:val="24"/>
              </w:rPr>
              <w:t>2、应急保障组织方案</w:t>
            </w:r>
          </w:p>
          <w:p>
            <w:pPr>
              <w:pStyle w:val="null3"/>
              <w:ind w:firstLine="400"/>
            </w:pPr>
            <w:r>
              <w:rPr>
                <w:rFonts w:ascii="仿宋_GB2312" w:hAnsi="仿宋_GB2312" w:cs="仿宋_GB2312" w:eastAsia="仿宋_GB2312"/>
                <w:sz w:val="24"/>
              </w:rPr>
              <w:t>供应商应制定合理可行的应急保障组织方案，通过优化组织程序，提高不可预见事件的处理效率、加强控制保障等多种手段，确保项目顺利进行。</w:t>
            </w:r>
          </w:p>
          <w:p>
            <w:pPr>
              <w:pStyle w:val="null3"/>
              <w:ind w:left="420"/>
            </w:pPr>
            <w:r>
              <w:rPr>
                <w:rFonts w:ascii="仿宋_GB2312" w:hAnsi="仿宋_GB2312" w:cs="仿宋_GB2312" w:eastAsia="仿宋_GB2312"/>
                <w:sz w:val="24"/>
              </w:rPr>
              <w:t>3、增值服务组织方案及合理化建议</w:t>
            </w:r>
          </w:p>
          <w:p>
            <w:pPr>
              <w:pStyle w:val="null3"/>
              <w:ind w:firstLine="400"/>
            </w:pPr>
            <w:r>
              <w:rPr>
                <w:rFonts w:ascii="仿宋_GB2312" w:hAnsi="仿宋_GB2312" w:cs="仿宋_GB2312" w:eastAsia="仿宋_GB2312"/>
                <w:sz w:val="24"/>
              </w:rPr>
              <w:t>供应商根据自身情况提供增值服务组织方案及合理化建议。</w:t>
            </w:r>
          </w:p>
          <w:p>
            <w:pPr>
              <w:pStyle w:val="null3"/>
              <w:ind w:firstLine="400"/>
            </w:pPr>
            <w:r>
              <w:rPr>
                <w:rFonts w:ascii="仿宋_GB2312" w:hAnsi="仿宋_GB2312" w:cs="仿宋_GB2312" w:eastAsia="仿宋_GB2312"/>
                <w:sz w:val="24"/>
              </w:rPr>
              <w:t>4、保密措施解决方案</w:t>
            </w:r>
          </w:p>
          <w:p>
            <w:pPr>
              <w:pStyle w:val="null3"/>
              <w:ind w:firstLine="400"/>
            </w:pPr>
            <w:r>
              <w:rPr>
                <w:rFonts w:ascii="仿宋_GB2312" w:hAnsi="仿宋_GB2312" w:cs="仿宋_GB2312" w:eastAsia="仿宋_GB2312"/>
                <w:sz w:val="24"/>
              </w:rPr>
              <w:t>供应商应制定合理保密措施解决方案，确保项目团队对项目执行中所获知信息保密。本项目所形成的数据成果归采购人所有。未经采购人同意，供应商不得以商业目的使用该资料或者开发和生产其他产品。</w:t>
            </w:r>
          </w:p>
          <w:p>
            <w:pPr>
              <w:pStyle w:val="null3"/>
              <w:ind w:firstLine="400"/>
            </w:pPr>
            <w:r>
              <w:rPr>
                <w:rFonts w:ascii="仿宋_GB2312" w:hAnsi="仿宋_GB2312" w:cs="仿宋_GB2312" w:eastAsia="仿宋_GB2312"/>
                <w:sz w:val="24"/>
              </w:rPr>
              <w:t>5、服务承诺</w:t>
            </w:r>
          </w:p>
          <w:p>
            <w:pPr>
              <w:pStyle w:val="null3"/>
              <w:jc w:val="both"/>
            </w:pPr>
            <w:r>
              <w:rPr>
                <w:rFonts w:ascii="仿宋_GB2312" w:hAnsi="仿宋_GB2312" w:cs="仿宋_GB2312" w:eastAsia="仿宋_GB2312"/>
                <w:sz w:val="24"/>
              </w:rPr>
              <w:t>供应商应根据本项目服务要求，针对本项目服务工作中的常见质量和服务问题进行梳理，供应商可根据自身情况对服务标准、过程管理、质量保证、人员培训、后续服务等方面作出有利于本项目开展的承诺。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标的名称：重型货车和机动车排放领域第三方机构驻点监督帮扶业务用车保障服务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4"/>
                <w:b/>
              </w:rPr>
              <w:t>一、项目概况</w:t>
            </w:r>
          </w:p>
          <w:p>
            <w:pPr>
              <w:pStyle w:val="null3"/>
              <w:ind w:firstLine="400"/>
            </w:pPr>
            <w:r>
              <w:rPr>
                <w:rFonts w:ascii="仿宋_GB2312" w:hAnsi="仿宋_GB2312" w:cs="仿宋_GB2312" w:eastAsia="仿宋_GB2312"/>
                <w:sz w:val="24"/>
              </w:rPr>
              <w:t>为切实推动大气污染治理专项行动平稳有序实施，本项目拟确定</w:t>
            </w:r>
            <w:r>
              <w:rPr>
                <w:rFonts w:ascii="仿宋_GB2312" w:hAnsi="仿宋_GB2312" w:cs="仿宋_GB2312" w:eastAsia="仿宋_GB2312"/>
                <w:sz w:val="24"/>
              </w:rPr>
              <w:t>1家供应商，为采购人提供重型货车和机动车排放领域第三方机构驻点监督帮扶工作所需的车辆服务。</w:t>
            </w:r>
          </w:p>
          <w:p>
            <w:pPr>
              <w:pStyle w:val="null3"/>
            </w:pPr>
            <w:r>
              <w:rPr>
                <w:rFonts w:ascii="仿宋_GB2312" w:hAnsi="仿宋_GB2312" w:cs="仿宋_GB2312" w:eastAsia="仿宋_GB2312"/>
                <w:sz w:val="24"/>
                <w:b/>
              </w:rPr>
              <w:t>二、服务要求</w:t>
            </w:r>
            <w:r>
              <w:br/>
            </w:r>
            <w:r>
              <w:rPr>
                <w:rFonts w:ascii="仿宋_GB2312" w:hAnsi="仿宋_GB2312" w:cs="仿宋_GB2312" w:eastAsia="仿宋_GB2312"/>
                <w:sz w:val="24"/>
              </w:rPr>
              <w:t>（一）车辆要求</w:t>
            </w:r>
          </w:p>
          <w:p>
            <w:pPr>
              <w:pStyle w:val="null3"/>
              <w:ind w:firstLine="400"/>
            </w:pPr>
            <w:r>
              <w:rPr>
                <w:rFonts w:ascii="仿宋_GB2312" w:hAnsi="仿宋_GB2312" w:cs="仿宋_GB2312" w:eastAsia="仿宋_GB2312"/>
                <w:sz w:val="24"/>
              </w:rPr>
              <w:t>1.数量要求：</w:t>
            </w:r>
            <w:r>
              <w:rPr>
                <w:rFonts w:ascii="仿宋_GB2312" w:hAnsi="仿宋_GB2312" w:cs="仿宋_GB2312" w:eastAsia="仿宋_GB2312"/>
                <w:sz w:val="24"/>
              </w:rPr>
              <w:t>供应商提供</w:t>
            </w:r>
            <w:r>
              <w:rPr>
                <w:rFonts w:ascii="仿宋_GB2312" w:hAnsi="仿宋_GB2312" w:cs="仿宋_GB2312" w:eastAsia="仿宋_GB2312"/>
                <w:sz w:val="24"/>
              </w:rPr>
              <w:t>越野车（或</w:t>
            </w:r>
            <w:r>
              <w:rPr>
                <w:rFonts w:ascii="仿宋_GB2312" w:hAnsi="仿宋_GB2312" w:cs="仿宋_GB2312" w:eastAsia="仿宋_GB2312"/>
                <w:sz w:val="24"/>
              </w:rPr>
              <w:t>SUV）和商务车≥8辆，符合安全行驶标准，提供行驶证复印件。</w:t>
            </w:r>
          </w:p>
          <w:p>
            <w:pPr>
              <w:pStyle w:val="null3"/>
              <w:ind w:firstLine="400"/>
            </w:pPr>
            <w:r>
              <w:rPr>
                <w:rFonts w:ascii="仿宋_GB2312" w:hAnsi="仿宋_GB2312" w:cs="仿宋_GB2312" w:eastAsia="仿宋_GB2312"/>
                <w:sz w:val="24"/>
              </w:rPr>
              <w:t>2.保险要求：供应商应按规定为本项目配置的车辆缴纳保险交强险及机动车损失险、第三者责任险（投保保额≥200万元）、座位险等，供应商在车辆保险期满前应及时续保。提供交强险及商业险保险单复印件。</w:t>
            </w:r>
          </w:p>
          <w:p>
            <w:pPr>
              <w:pStyle w:val="null3"/>
              <w:ind w:firstLine="400"/>
            </w:pPr>
            <w:r>
              <w:rPr>
                <w:rFonts w:ascii="仿宋_GB2312" w:hAnsi="仿宋_GB2312" w:cs="仿宋_GB2312" w:eastAsia="仿宋_GB2312"/>
                <w:sz w:val="24"/>
              </w:rPr>
              <w:t>3.随车服务人员</w:t>
            </w:r>
            <w:r>
              <w:rPr>
                <w:rFonts w:ascii="仿宋_GB2312" w:hAnsi="仿宋_GB2312" w:cs="仿宋_GB2312" w:eastAsia="仿宋_GB2312"/>
                <w:sz w:val="24"/>
              </w:rPr>
              <w:t>需严格按照执法工作及任务需求，满足</w:t>
            </w:r>
            <w:r>
              <w:rPr>
                <w:rFonts w:ascii="仿宋_GB2312" w:hAnsi="仿宋_GB2312" w:cs="仿宋_GB2312" w:eastAsia="仿宋_GB2312"/>
                <w:sz w:val="24"/>
              </w:rPr>
              <w:t>执法</w:t>
            </w:r>
            <w:r>
              <w:rPr>
                <w:rFonts w:ascii="仿宋_GB2312" w:hAnsi="仿宋_GB2312" w:cs="仿宋_GB2312" w:eastAsia="仿宋_GB2312"/>
                <w:sz w:val="24"/>
              </w:rPr>
              <w:t>用车保障需根据工作及任务需要随时出车</w:t>
            </w:r>
            <w:r>
              <w:rPr>
                <w:rFonts w:ascii="仿宋_GB2312" w:hAnsi="仿宋_GB2312" w:cs="仿宋_GB2312" w:eastAsia="仿宋_GB2312"/>
                <w:sz w:val="24"/>
              </w:rPr>
              <w:t>。</w:t>
            </w:r>
            <w:r>
              <w:br/>
            </w:r>
            <w:r>
              <w:rPr>
                <w:rFonts w:ascii="仿宋_GB2312" w:hAnsi="仿宋_GB2312" w:cs="仿宋_GB2312" w:eastAsia="仿宋_GB2312"/>
                <w:sz w:val="24"/>
              </w:rPr>
              <w:t xml:space="preserve">  </w:t>
            </w:r>
            <w:r>
              <w:rPr>
                <w:rFonts w:ascii="仿宋_GB2312" w:hAnsi="仿宋_GB2312" w:cs="仿宋_GB2312" w:eastAsia="仿宋_GB2312"/>
                <w:sz w:val="24"/>
                <w:b/>
              </w:rPr>
              <w:t>（二）</w:t>
            </w:r>
            <w:r>
              <w:rPr>
                <w:rFonts w:ascii="仿宋_GB2312" w:hAnsi="仿宋_GB2312" w:cs="仿宋_GB2312" w:eastAsia="仿宋_GB2312"/>
                <w:sz w:val="24"/>
              </w:rPr>
              <w:t>服务要求</w:t>
            </w:r>
          </w:p>
          <w:p>
            <w:pPr>
              <w:pStyle w:val="null3"/>
              <w:ind w:firstLine="400"/>
            </w:pPr>
            <w:r>
              <w:rPr>
                <w:rFonts w:ascii="仿宋_GB2312" w:hAnsi="仿宋_GB2312" w:cs="仿宋_GB2312" w:eastAsia="仿宋_GB2312"/>
                <w:sz w:val="24"/>
              </w:rPr>
              <w:t>1.供应商已完成小微型客车租赁备案，提供全天候24小时服务。</w:t>
            </w:r>
          </w:p>
          <w:p>
            <w:pPr>
              <w:pStyle w:val="null3"/>
              <w:ind w:firstLine="400"/>
            </w:pPr>
            <w:r>
              <w:rPr>
                <w:rFonts w:ascii="仿宋_GB2312" w:hAnsi="仿宋_GB2312" w:cs="仿宋_GB2312" w:eastAsia="仿宋_GB2312"/>
                <w:sz w:val="24"/>
              </w:rPr>
              <w:t>2.提供车辆应当设施设备齐全，车辆状况良好。</w:t>
            </w:r>
            <w:r>
              <w:rPr>
                <w:rFonts w:ascii="仿宋_GB2312" w:hAnsi="仿宋_GB2312" w:cs="仿宋_GB2312" w:eastAsia="仿宋_GB2312"/>
                <w:sz w:val="24"/>
              </w:rPr>
              <w:t>行驶证、保险手续及相关证件齐全有效，应该按期缴纳该车辆的车船税、保险费、路桥费、年检费等相关税费，确保该车辆达到合法的行驶状态。</w:t>
            </w:r>
          </w:p>
          <w:p>
            <w:pPr>
              <w:pStyle w:val="null3"/>
              <w:ind w:firstLine="400"/>
            </w:pPr>
            <w:r>
              <w:rPr>
                <w:rFonts w:ascii="仿宋_GB2312" w:hAnsi="仿宋_GB2312" w:cs="仿宋_GB2312" w:eastAsia="仿宋_GB2312"/>
                <w:sz w:val="24"/>
              </w:rPr>
              <w:t>3.具备科学先进的车辆信息管理系统。</w:t>
            </w:r>
          </w:p>
          <w:p>
            <w:pPr>
              <w:pStyle w:val="null3"/>
              <w:ind w:firstLine="400"/>
            </w:pPr>
            <w:r>
              <w:rPr>
                <w:rFonts w:ascii="仿宋_GB2312" w:hAnsi="仿宋_GB2312" w:cs="仿宋_GB2312" w:eastAsia="仿宋_GB2312"/>
                <w:sz w:val="24"/>
              </w:rPr>
              <w:t>4.车辆维护保养管理规范，有专业固定的维修保养定点场所。</w:t>
            </w:r>
          </w:p>
          <w:p>
            <w:pPr>
              <w:pStyle w:val="null3"/>
              <w:ind w:firstLine="400"/>
            </w:pPr>
            <w:r>
              <w:rPr>
                <w:rFonts w:ascii="仿宋_GB2312" w:hAnsi="仿宋_GB2312" w:cs="仿宋_GB2312" w:eastAsia="仿宋_GB2312"/>
                <w:sz w:val="24"/>
              </w:rPr>
              <w:t>5.车辆在租赁期间发生故障，无法正常行驶，能及时调换其它车辆确保生产或外业出行正常运行。</w:t>
            </w:r>
          </w:p>
          <w:p>
            <w:pPr>
              <w:pStyle w:val="null3"/>
              <w:ind w:firstLine="400"/>
            </w:pPr>
            <w:r>
              <w:rPr>
                <w:rFonts w:ascii="仿宋_GB2312" w:hAnsi="仿宋_GB2312" w:cs="仿宋_GB2312" w:eastAsia="仿宋_GB2312"/>
                <w:sz w:val="24"/>
              </w:rPr>
              <w:t>6.供应商在基本服务质量要求外，应就车辆的卫生保洁、服务创新、服务质量标准化、应急方案、服务监督、重大活动保障等方面提出服务承诺。</w:t>
            </w:r>
          </w:p>
          <w:p>
            <w:pPr>
              <w:pStyle w:val="null3"/>
              <w:ind w:firstLine="400"/>
            </w:pPr>
            <w:r>
              <w:rPr>
                <w:rFonts w:ascii="仿宋_GB2312" w:hAnsi="仿宋_GB2312" w:cs="仿宋_GB2312" w:eastAsia="仿宋_GB2312"/>
                <w:sz w:val="24"/>
              </w:rPr>
              <w:t>7.在租赁期内，乙方所提供的随车服务人员不超过50岁，应携带驾驶证、身份证等，并保持通讯畅通，按时间要求提前到达指定地点等候，应严格遵守《交通安全法》，安全文明驾驶，遵守国家各项法律法规，并承担由于违法、交通违章肇事等行为所产生的全部责任和损失，以及给使用单位带来的各种经济损失。</w:t>
            </w:r>
          </w:p>
          <w:p>
            <w:pPr>
              <w:pStyle w:val="null3"/>
              <w:ind w:firstLine="400"/>
            </w:pPr>
            <w:r>
              <w:rPr>
                <w:rFonts w:ascii="仿宋_GB2312" w:hAnsi="仿宋_GB2312" w:cs="仿宋_GB2312" w:eastAsia="仿宋_GB2312"/>
                <w:sz w:val="24"/>
              </w:rPr>
              <w:t>8.租赁期间,车辆发生故障时,由乙方进行维修,维修费用由乙方承担,租赁期间,如若发生事故,由乙方提供全部相关证明并处理保险索赔事宜，如保险公司认为不符合赔付条件的和保险公司险种赔偿之外的所有损失由乙方承担。</w:t>
            </w:r>
          </w:p>
          <w:p>
            <w:pPr>
              <w:pStyle w:val="null3"/>
              <w:ind w:firstLine="400"/>
            </w:pPr>
            <w:r>
              <w:rPr>
                <w:rFonts w:ascii="仿宋_GB2312" w:hAnsi="仿宋_GB2312" w:cs="仿宋_GB2312" w:eastAsia="仿宋_GB2312"/>
                <w:sz w:val="24"/>
              </w:rPr>
              <w:t>9.乙方如被授予租赁合同的不允许将合同的全部或部分转包给其他租赁公司或中介组织。</w:t>
            </w:r>
          </w:p>
          <w:p>
            <w:pPr>
              <w:pStyle w:val="null3"/>
              <w:ind w:firstLine="400"/>
            </w:pPr>
            <w:r>
              <w:rPr>
                <w:rFonts w:ascii="仿宋_GB2312" w:hAnsi="仿宋_GB2312" w:cs="仿宋_GB2312" w:eastAsia="仿宋_GB2312"/>
                <w:sz w:val="24"/>
              </w:rPr>
              <w:t>10.具体项目服务要求以采购人与成交供应商签订的服务合同为准。</w:t>
            </w:r>
          </w:p>
          <w:p>
            <w:pPr>
              <w:pStyle w:val="null3"/>
            </w:pPr>
            <w:r>
              <w:rPr>
                <w:rFonts w:ascii="仿宋_GB2312" w:hAnsi="仿宋_GB2312" w:cs="仿宋_GB2312" w:eastAsia="仿宋_GB2312"/>
                <w:sz w:val="24"/>
              </w:rPr>
              <w:t>（三）如发生下列任意一项，采购人有权责令整改并向上级主管部门报备解除合同，并要求供应商赔偿相关损失及承担相关法律责任。</w:t>
            </w:r>
          </w:p>
          <w:p>
            <w:pPr>
              <w:pStyle w:val="null3"/>
              <w:ind w:firstLine="400"/>
            </w:pPr>
            <w:r>
              <w:rPr>
                <w:rFonts w:ascii="仿宋_GB2312" w:hAnsi="仿宋_GB2312" w:cs="仿宋_GB2312" w:eastAsia="仿宋_GB2312"/>
                <w:sz w:val="24"/>
              </w:rPr>
              <w:t>1、服务不合格，拒不改正、影响服务质量或损害国家利益的。</w:t>
            </w:r>
          </w:p>
          <w:p>
            <w:pPr>
              <w:pStyle w:val="null3"/>
              <w:ind w:firstLine="400"/>
            </w:pPr>
            <w:r>
              <w:rPr>
                <w:rFonts w:ascii="仿宋_GB2312" w:hAnsi="仿宋_GB2312" w:cs="仿宋_GB2312" w:eastAsia="仿宋_GB2312"/>
                <w:sz w:val="24"/>
              </w:rPr>
              <w:t>2、因供应商原因导致重大安全事故、伤亡等。</w:t>
            </w:r>
          </w:p>
          <w:p>
            <w:pPr>
              <w:pStyle w:val="null3"/>
              <w:ind w:firstLine="400"/>
            </w:pPr>
            <w:r>
              <w:rPr>
                <w:rFonts w:ascii="仿宋_GB2312" w:hAnsi="仿宋_GB2312" w:cs="仿宋_GB2312" w:eastAsia="仿宋_GB2312"/>
                <w:sz w:val="24"/>
              </w:rPr>
              <w:t>3、发生重大安全事件隐瞒不报。</w:t>
            </w:r>
            <w:r>
              <w:br/>
            </w:r>
            <w:r>
              <w:rPr>
                <w:rFonts w:ascii="仿宋_GB2312" w:hAnsi="仿宋_GB2312" w:cs="仿宋_GB2312" w:eastAsia="仿宋_GB2312"/>
                <w:sz w:val="24"/>
              </w:rPr>
              <w:t>（四）</w:t>
            </w:r>
            <w:r>
              <w:rPr>
                <w:rFonts w:ascii="仿宋_GB2312" w:hAnsi="仿宋_GB2312" w:cs="仿宋_GB2312" w:eastAsia="仿宋_GB2312"/>
                <w:sz w:val="24"/>
              </w:rPr>
              <w:t>报价要求：</w:t>
            </w:r>
          </w:p>
          <w:p>
            <w:pPr>
              <w:pStyle w:val="null3"/>
              <w:ind w:firstLine="400"/>
            </w:pPr>
            <w:r>
              <w:rPr>
                <w:rFonts w:ascii="仿宋_GB2312" w:hAnsi="仿宋_GB2312" w:cs="仿宋_GB2312" w:eastAsia="仿宋_GB2312"/>
                <w:sz w:val="24"/>
              </w:rPr>
              <w:t>1</w:t>
            </w:r>
            <w:r>
              <w:rPr>
                <w:rFonts w:ascii="仿宋_GB2312" w:hAnsi="仿宋_GB2312" w:cs="仿宋_GB2312" w:eastAsia="仿宋_GB2312"/>
                <w:sz w:val="24"/>
              </w:rPr>
              <w:t>、本项目以越野车（或</w:t>
            </w:r>
            <w:r>
              <w:rPr>
                <w:rFonts w:ascii="仿宋_GB2312" w:hAnsi="仿宋_GB2312" w:cs="仿宋_GB2312" w:eastAsia="仿宋_GB2312"/>
                <w:sz w:val="24"/>
              </w:rPr>
              <w:t>SUV</w:t>
            </w:r>
            <w:r>
              <w:rPr>
                <w:rFonts w:ascii="仿宋_GB2312" w:hAnsi="仿宋_GB2312" w:cs="仿宋_GB2312" w:eastAsia="仿宋_GB2312"/>
                <w:sz w:val="24"/>
              </w:rPr>
              <w:t>）日租单价为评审价。首次报价和最后报价均只填报此车型价格。</w:t>
            </w:r>
          </w:p>
          <w:p>
            <w:pPr>
              <w:pStyle w:val="null3"/>
              <w:ind w:firstLine="20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、供应商在分项报价表根据实际提供服务的越野车（或</w:t>
            </w:r>
            <w:r>
              <w:rPr>
                <w:rFonts w:ascii="仿宋_GB2312" w:hAnsi="仿宋_GB2312" w:cs="仿宋_GB2312" w:eastAsia="仿宋_GB2312"/>
                <w:sz w:val="24"/>
              </w:rPr>
              <w:t>SUV</w:t>
            </w:r>
            <w:r>
              <w:rPr>
                <w:rFonts w:ascii="仿宋_GB2312" w:hAnsi="仿宋_GB2312" w:cs="仿宋_GB2312" w:eastAsia="仿宋_GB2312"/>
                <w:sz w:val="24"/>
              </w:rPr>
              <w:t>）和商务车日租单价（元</w:t>
            </w:r>
            <w:r>
              <w:rPr>
                <w:rFonts w:ascii="仿宋_GB2312" w:hAnsi="仿宋_GB2312" w:cs="仿宋_GB2312" w:eastAsia="仿宋_GB2312"/>
                <w:sz w:val="24"/>
              </w:rPr>
              <w:t>/</w:t>
            </w:r>
            <w:r>
              <w:rPr>
                <w:rFonts w:ascii="仿宋_GB2312" w:hAnsi="仿宋_GB2312" w:cs="仿宋_GB2312" w:eastAsia="仿宋_GB2312"/>
                <w:sz w:val="24"/>
              </w:rPr>
              <w:t>辆）进行报价，双方最终根据分项报价表填写的车辆类型和价格据实结算。分项报价表的最终价格，按最后报价表的降价比例同比下浮确定。</w:t>
            </w:r>
            <w:r>
              <w:br/>
            </w: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sz w:val="24"/>
              </w:rPr>
              <w:t>、最后报价和分项报价表均不得超限价。</w:t>
            </w:r>
            <w:r>
              <w:br/>
            </w:r>
            <w:r>
              <w:rPr>
                <w:rFonts w:ascii="仿宋_GB2312" w:hAnsi="仿宋_GB2312" w:cs="仿宋_GB2312" w:eastAsia="仿宋_GB2312"/>
                <w:sz w:val="24"/>
              </w:rPr>
              <w:t xml:space="preserve">  </w:t>
            </w:r>
            <w:r>
              <w:rPr>
                <w:rFonts w:ascii="仿宋_GB2312" w:hAnsi="仿宋_GB2312" w:cs="仿宋_GB2312" w:eastAsia="仿宋_GB2312"/>
                <w:sz w:val="24"/>
              </w:rPr>
              <w:t>4、供应商响应报价超过最高限价或者无报价响应的，响应无效。</w:t>
            </w:r>
            <w:r>
              <w:br/>
            </w:r>
            <w:r>
              <w:rPr>
                <w:rFonts w:ascii="仿宋_GB2312" w:hAnsi="仿宋_GB2312" w:cs="仿宋_GB2312" w:eastAsia="仿宋_GB2312"/>
                <w:sz w:val="24"/>
              </w:rPr>
              <w:t xml:space="preserve">  </w:t>
            </w:r>
            <w:r>
              <w:rPr>
                <w:rFonts w:ascii="仿宋_GB2312" w:hAnsi="仿宋_GB2312" w:cs="仿宋_GB2312" w:eastAsia="仿宋_GB2312"/>
                <w:sz w:val="24"/>
              </w:rPr>
              <w:t>车辆日租单价最高限价如下：</w:t>
            </w:r>
          </w:p>
          <w:tbl>
            <w:tblPr>
              <w:tblInd w:type="dxa" w:w="120"/>
              <w:tblBorders>
                <w:top w:val="none" w:color="000000" w:sz="4"/>
                <w:left w:val="none" w:color="000000" w:sz="4"/>
                <w:bottom w:val="none" w:color="000000" w:sz="4"/>
                <w:right w:val="none" w:color="000000" w:sz="4"/>
                <w:insideH w:val="none"/>
                <w:insideV w:val="none"/>
              </w:tblBorders>
            </w:tblPr>
            <w:tblGrid>
              <w:gridCol w:w="371"/>
              <w:gridCol w:w="1147"/>
              <w:gridCol w:w="1264"/>
            </w:tblGrid>
            <w:tr>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车型</w:t>
                  </w:r>
                </w:p>
              </w:tc>
              <w:tc>
                <w:tcPr>
                  <w:tcW w:type="dxa" w:w="1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日租最高限价</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越野车</w:t>
                  </w:r>
                  <w:r>
                    <w:rPr>
                      <w:rFonts w:ascii="仿宋_GB2312" w:hAnsi="仿宋_GB2312" w:cs="仿宋_GB2312" w:eastAsia="仿宋_GB2312"/>
                      <w:sz w:val="24"/>
                    </w:rPr>
                    <w:t>（或</w:t>
                  </w:r>
                  <w:r>
                    <w:rPr>
                      <w:rFonts w:ascii="仿宋_GB2312" w:hAnsi="仿宋_GB2312" w:cs="仿宋_GB2312" w:eastAsia="仿宋_GB2312"/>
                      <w:sz w:val="24"/>
                    </w:rPr>
                    <w:t>SUV）</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1400元/辆</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商务车</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1600元/辆</w:t>
                  </w:r>
                </w:p>
              </w:tc>
            </w:tr>
          </w:tbl>
          <w:p>
            <w:pPr>
              <w:pStyle w:val="null3"/>
              <w:ind w:firstLine="400"/>
            </w:pPr>
            <w:r>
              <w:rPr>
                <w:rFonts w:ascii="仿宋_GB2312" w:hAnsi="仿宋_GB2312" w:cs="仿宋_GB2312" w:eastAsia="仿宋_GB2312"/>
                <w:sz w:val="24"/>
              </w:rPr>
              <w:t>5、租赁车辆按单价（元/日/辆）报价，响应报价应含车辆租赁费用、燃油、公路车辆通行费、停车费用、税金及乘车人人身意外保险等全部费用。</w:t>
            </w:r>
          </w:p>
          <w:p>
            <w:pPr>
              <w:pStyle w:val="null3"/>
            </w:pPr>
            <w:r>
              <w:rPr>
                <w:rFonts w:ascii="仿宋_GB2312" w:hAnsi="仿宋_GB2312" w:cs="仿宋_GB2312" w:eastAsia="仿宋_GB2312"/>
                <w:sz w:val="24"/>
              </w:rPr>
              <w:t>（五）因用车产生的服务人员食宿费用另行由采购人与供应商具体商定。</w:t>
            </w:r>
          </w:p>
          <w:p>
            <w:pPr>
              <w:pStyle w:val="null3"/>
            </w:pPr>
            <w:r>
              <w:rPr>
                <w:rFonts w:ascii="仿宋_GB2312" w:hAnsi="仿宋_GB2312" w:cs="仿宋_GB2312" w:eastAsia="仿宋_GB2312"/>
                <w:sz w:val="24"/>
              </w:rPr>
              <w:t>（六）服务期限内，本采购包合同据实结算总金额不得超过采购包总预算，即人民币捌拾玖万元整（</w:t>
            </w:r>
            <w:r>
              <w:rPr>
                <w:rFonts w:ascii="仿宋_GB2312" w:hAnsi="仿宋_GB2312" w:cs="仿宋_GB2312" w:eastAsia="仿宋_GB2312"/>
                <w:sz w:val="24"/>
              </w:rPr>
              <w:t>¥890000.00元）。</w:t>
            </w:r>
          </w:p>
          <w:p>
            <w:pPr>
              <w:pStyle w:val="null3"/>
            </w:pPr>
            <w:r>
              <w:rPr>
                <w:rFonts w:ascii="仿宋_GB2312" w:hAnsi="仿宋_GB2312" w:cs="仿宋_GB2312" w:eastAsia="仿宋_GB2312"/>
                <w:sz w:val="24"/>
              </w:rPr>
              <w:t>三、预估用量估算如下：</w:t>
            </w:r>
          </w:p>
          <w:p>
            <w:pPr>
              <w:pStyle w:val="null3"/>
            </w:pPr>
            <w:r>
              <w:rPr>
                <w:rFonts w:ascii="仿宋_GB2312" w:hAnsi="仿宋_GB2312" w:cs="仿宋_GB2312" w:eastAsia="仿宋_GB2312"/>
                <w:sz w:val="24"/>
              </w:rPr>
              <w:t>在西安、宝鸡、咸阳、铜川、渭南、榆林、汉中等七市分设驻点监督帮扶组。</w:t>
            </w:r>
            <w:r>
              <w:br/>
            </w:r>
            <w:r>
              <w:rPr>
                <w:rFonts w:ascii="仿宋_GB2312" w:hAnsi="仿宋_GB2312" w:cs="仿宋_GB2312" w:eastAsia="仿宋_GB2312"/>
                <w:sz w:val="24"/>
                <w:b/>
              </w:rPr>
              <w:t>由于执法任务的不确定性，具体以实际发生为准，按照车辆租赁天数据实结算。</w:t>
            </w:r>
          </w:p>
          <w:p>
            <w:pPr>
              <w:pStyle w:val="null3"/>
              <w:ind w:left="480"/>
            </w:pPr>
            <w:r>
              <w:rPr>
                <w:rFonts w:ascii="仿宋_GB2312" w:hAnsi="仿宋_GB2312" w:cs="仿宋_GB2312" w:eastAsia="仿宋_GB2312"/>
                <w:sz w:val="24"/>
                <w:b/>
              </w:rPr>
              <w:t>四、需要由供应商提供的设计方案、解决方案或者组织方案</w:t>
            </w:r>
            <w:r>
              <w:br/>
            </w:r>
            <w:r>
              <w:rPr>
                <w:rFonts w:ascii="仿宋_GB2312" w:hAnsi="仿宋_GB2312" w:cs="仿宋_GB2312" w:eastAsia="仿宋_GB2312"/>
                <w:sz w:val="24"/>
              </w:rPr>
              <w:t>1、重点难点分析及解决方案</w:t>
            </w:r>
          </w:p>
          <w:p>
            <w:pPr>
              <w:pStyle w:val="null3"/>
              <w:ind w:firstLine="400"/>
            </w:pPr>
            <w:r>
              <w:rPr>
                <w:rFonts w:ascii="仿宋_GB2312" w:hAnsi="仿宋_GB2312" w:cs="仿宋_GB2312" w:eastAsia="仿宋_GB2312"/>
                <w:sz w:val="24"/>
              </w:rPr>
              <w:t>供应商应针对本项目实际情况结合过往经验分析并指出项目实施过程中潜在的困难点、风险点，并能够给出妥善的解决方案。</w:t>
            </w:r>
            <w:r>
              <w:rPr>
                <w:rFonts w:ascii="仿宋_GB2312" w:hAnsi="仿宋_GB2312" w:cs="仿宋_GB2312" w:eastAsia="仿宋_GB2312"/>
                <w:sz w:val="24"/>
              </w:rPr>
              <w:t xml:space="preserve">  </w:t>
            </w:r>
          </w:p>
          <w:p>
            <w:pPr>
              <w:pStyle w:val="null3"/>
              <w:ind w:left="420"/>
            </w:pPr>
            <w:r>
              <w:rPr>
                <w:rFonts w:ascii="仿宋_GB2312" w:hAnsi="仿宋_GB2312" w:cs="仿宋_GB2312" w:eastAsia="仿宋_GB2312"/>
                <w:sz w:val="24"/>
              </w:rPr>
              <w:t>2、应急保障组织方案</w:t>
            </w:r>
          </w:p>
          <w:p>
            <w:pPr>
              <w:pStyle w:val="null3"/>
              <w:ind w:firstLine="400"/>
            </w:pPr>
            <w:r>
              <w:rPr>
                <w:rFonts w:ascii="仿宋_GB2312" w:hAnsi="仿宋_GB2312" w:cs="仿宋_GB2312" w:eastAsia="仿宋_GB2312"/>
                <w:sz w:val="24"/>
              </w:rPr>
              <w:t>供应商应制定合理可行的应急保障组织方案，通过优化组织程序，提高不可预见事件的处理效率、加强控制保障等多种手段，确保项目顺利进行。</w:t>
            </w:r>
          </w:p>
          <w:p>
            <w:pPr>
              <w:pStyle w:val="null3"/>
              <w:ind w:left="420"/>
            </w:pPr>
            <w:r>
              <w:rPr>
                <w:rFonts w:ascii="仿宋_GB2312" w:hAnsi="仿宋_GB2312" w:cs="仿宋_GB2312" w:eastAsia="仿宋_GB2312"/>
                <w:sz w:val="24"/>
              </w:rPr>
              <w:t>3、增值服务组织方案及合理化建议</w:t>
            </w:r>
          </w:p>
          <w:p>
            <w:pPr>
              <w:pStyle w:val="null3"/>
              <w:ind w:firstLine="400"/>
            </w:pPr>
            <w:r>
              <w:rPr>
                <w:rFonts w:ascii="仿宋_GB2312" w:hAnsi="仿宋_GB2312" w:cs="仿宋_GB2312" w:eastAsia="仿宋_GB2312"/>
                <w:sz w:val="24"/>
              </w:rPr>
              <w:t>供应商根据自身情况提供增值服务组织方案及合理化建议。</w:t>
            </w:r>
          </w:p>
          <w:p>
            <w:pPr>
              <w:pStyle w:val="null3"/>
              <w:ind w:firstLine="400"/>
            </w:pPr>
            <w:r>
              <w:rPr>
                <w:rFonts w:ascii="仿宋_GB2312" w:hAnsi="仿宋_GB2312" w:cs="仿宋_GB2312" w:eastAsia="仿宋_GB2312"/>
                <w:sz w:val="24"/>
              </w:rPr>
              <w:t>4、保密措施解决方案</w:t>
            </w:r>
          </w:p>
          <w:p>
            <w:pPr>
              <w:pStyle w:val="null3"/>
              <w:ind w:firstLine="400"/>
            </w:pPr>
            <w:r>
              <w:rPr>
                <w:rFonts w:ascii="仿宋_GB2312" w:hAnsi="仿宋_GB2312" w:cs="仿宋_GB2312" w:eastAsia="仿宋_GB2312"/>
                <w:sz w:val="24"/>
              </w:rPr>
              <w:t>供应商应制定合理保密措施解决方案，确保项目团队对项目执行中所获知信息保密。本项目所形成的数据成果归采购人所有。未经采购人同意，供应商不得以商业目的使用该资料或者开发和生产其他产品。</w:t>
            </w:r>
          </w:p>
          <w:p>
            <w:pPr>
              <w:pStyle w:val="null3"/>
              <w:ind w:firstLine="400"/>
            </w:pPr>
            <w:r>
              <w:rPr>
                <w:rFonts w:ascii="仿宋_GB2312" w:hAnsi="仿宋_GB2312" w:cs="仿宋_GB2312" w:eastAsia="仿宋_GB2312"/>
                <w:sz w:val="24"/>
              </w:rPr>
              <w:t>5、服务承诺</w:t>
            </w:r>
          </w:p>
          <w:p>
            <w:pPr>
              <w:pStyle w:val="null3"/>
              <w:jc w:val="both"/>
            </w:pPr>
            <w:r>
              <w:rPr>
                <w:rFonts w:ascii="仿宋_GB2312" w:hAnsi="仿宋_GB2312" w:cs="仿宋_GB2312" w:eastAsia="仿宋_GB2312"/>
                <w:sz w:val="24"/>
              </w:rPr>
              <w:t>供应商应根据本项目服务要求，针对本项目服务工作中的常见质量和服务问题进行梳理，供应商可根据自身情况对服务标准、过程管理、质量保证、人员培训、后续服务等方面作出有利于本项目开展的承诺。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供应商应提供满足本项目服务需求的设施设备，具体详见3.2.2服务要求。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供应商应提供满足本项目服务需求的设施设备，具体详见3.2.2服务要求。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服务人员在工作期间发生任何经济赔偿、劳动纠纷、法律纠纷、安全事故、疾病等等有关问题均由成交人负责处理并承担相应责任，采购人不承担连带责任。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服务人员在工作期间发生任何经济赔偿、劳动纠纷、法律纠纷、安全事故、疾病等等有关问题均由成交人负责处理并承担相应责任，采购人不承担连带责任。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陕西省生态环境执法总队指定地点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验收标准：供应商根据采购人的管理要求填写费用结算表单，由采购人组织验收并按月据实结算。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验收标准：供应商根据采购人的管理要求填写费用结算表单，由采购人组织验收并按月据实结算。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按月据实结算后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1、供应商在保证金缴付过程中需备注xxxx项目（第X包）简称+保证金。 采购包2： 2、供应商在保证金缴付过程中需备注xxxx项目（第X包）简称+保证金。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（1）本采购包专门面向中小企业采购。服务全部由符合政策要求的中小企业承接。中小企业参加政府采购活动，应当出具政策规定的《中小企业声明函》。 （2）《关于在政府采购活动中查询及使用信用记录有关问题的通知》（财库〔2016〕125号）； （3）《政府采购促进中小企业发展管理办法》（财库〔2020〕46号）、《关于进一步加大政府采购支持中小企业力度的通知》（财库〔2022〕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 号）、陕西省财政厅关于印发《陕西省中小企业政府采购信用融资办法》（陕财办采〔2018〕23 号）； （6）如有颁布最新的政策，以最新已生效的政策为准。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（1）本采购包专门面向中小企业采购。服务全部由符合政策要求的中小企业承接。中小企业参加政府采购活动，应当出具政策规定的《中小企业声明函》。 （2）《关于在政府采购活动中查询及使用信用记录有关问题的通知》（财库〔2016〕125号）； （3）《政府采购促进中小企业发展管理办法》（财库〔2020〕46号）、《关于进一步加大政府采购支持中小企业力度的通知》（财库〔2022〕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 号）、陕西省财政厅关于印发《陕西省中小企业政府采购信用融资办法》（陕财办采〔2018〕23 号）； （6）如有颁布最新的政策，以最新已生效的政策为准。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按磋商文件的规定缴纳保证金（如有设置）。</w:t>
            </w:r>
          </w:p>
        </w:tc>
        <w:tc>
          <w:tcPr>
            <w:tcW w:type="dxa" w:w="1661"/>
          </w:tcPr>
          <w:p>
            <w:pPr>
              <w:pStyle w:val="null3"/>
            </w:pPr>
            <w:r>
              <w:rPr>
                <w:rFonts w:ascii="仿宋_GB2312" w:hAnsi="仿宋_GB2312" w:cs="仿宋_GB2312" w:eastAsia="仿宋_GB2312"/>
              </w:rPr>
              <w:t>7-保证金缴纳凭证.docx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按磋商文件要求方式签署、盖章。</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响应报价未超过磋商文件中规定的预算金额或者最高限价。</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响应文件符合磋商文件中标注 “★”的实质性条款要求。</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按磋商文件的规定缴纳保证金（如有设置）。</w:t>
            </w:r>
          </w:p>
        </w:tc>
        <w:tc>
          <w:tcPr>
            <w:tcW w:type="dxa" w:w="1661"/>
          </w:tcPr>
          <w:p>
            <w:pPr>
              <w:pStyle w:val="null3"/>
            </w:pPr>
            <w:r>
              <w:rPr>
                <w:rFonts w:ascii="仿宋_GB2312" w:hAnsi="仿宋_GB2312" w:cs="仿宋_GB2312" w:eastAsia="仿宋_GB2312"/>
              </w:rPr>
              <w:t>7-保证金缴纳凭证.docx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按磋商文件要求方式签署、盖章。</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响应报价未超过磋商文件中规定的预算金额或者最高限价。</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响应文件符合磋商文件中标注 “★”的实质性条款要求。</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供应商提供针对本项目采购需求的理解，至少应包括： ①工作重点；②关键点分析；③工作难点；④服务优势；⑤合理化建议。包含但不限于上述全部内容，且方案详细，清晰有利于项目的得满分（如有缺陷或不足在此分数基础上进行扣分），以上5项中：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租赁服务方案</w:t>
            </w:r>
          </w:p>
        </w:tc>
        <w:tc>
          <w:tcPr>
            <w:tcW w:type="dxa" w:w="2492"/>
          </w:tcPr>
          <w:p>
            <w:pPr>
              <w:pStyle w:val="null3"/>
            </w:pPr>
            <w:r>
              <w:rPr>
                <w:rFonts w:ascii="仿宋_GB2312" w:hAnsi="仿宋_GB2312" w:cs="仿宋_GB2312" w:eastAsia="仿宋_GB2312"/>
              </w:rPr>
              <w:t>供应商针对本项目提供的租赁服务方案，至少包含：①车辆配备服务方案；②租赁服务操作流程；③车辆管理调度方案；④车辆检查方案；⑤维修保养方案；⑥服务投诉渠道； 包含但不限于上述全部内容，且方案详细，清晰有利于项目的得满分（如有缺陷或不足在此分数基础上进行扣分），以上6项中，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针对供应商根据自身情况提供对本项目开展的服务保障，至少包含：①服务创新；②服务质量保障和服务监督；③安全经营管理方案；④增值服务；⑤保密承诺； 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供应商针对本项目提供的应急处理方案，至少包含：①车辆故障；②应急、突发性事件；③恶劣天气； 包含但不限于上述全部内容，且方案详细，清晰有利于项目的得满分（如有缺陷或不足在此分数基础上进行扣分），以上3项中，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项目人员</w:t>
            </w:r>
          </w:p>
        </w:tc>
        <w:tc>
          <w:tcPr>
            <w:tcW w:type="dxa" w:w="2492"/>
          </w:tcPr>
          <w:p>
            <w:pPr>
              <w:pStyle w:val="null3"/>
            </w:pPr>
            <w:r>
              <w:rPr>
                <w:rFonts w:ascii="仿宋_GB2312" w:hAnsi="仿宋_GB2312" w:cs="仿宋_GB2312" w:eastAsia="仿宋_GB2312"/>
              </w:rPr>
              <w:t>供应商须提供项目服务人员配置清单或人员配置承诺函，其中： 服务人员年龄不超过50岁，提供机动车驾驶证，每有1人得0.5分；最高得4分，不满足不得分。 注： （1）供应商应提供上述人员机动车驾驶证复印件或扫描件，不提供不得分。 （2）供应商仅提供人员配置清单或承诺函，最高得1分，未提供不得分。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车辆情况</w:t>
            </w:r>
          </w:p>
        </w:tc>
        <w:tc>
          <w:tcPr>
            <w:tcW w:type="dxa" w:w="2492"/>
          </w:tcPr>
          <w:p>
            <w:pPr>
              <w:pStyle w:val="null3"/>
            </w:pPr>
            <w:r>
              <w:rPr>
                <w:rFonts w:ascii="仿宋_GB2312" w:hAnsi="仿宋_GB2312" w:cs="仿宋_GB2312" w:eastAsia="仿宋_GB2312"/>
              </w:rPr>
              <w:t>供应商须提供为项目服务的越野车（或SUV）以及商务车车辆证明材料： （1）供应商提供车辆属于自有车辆，每有1辆满足要求得2分，最高得16分； （2）供应商提供车辆中含有任意组合方式满足服务要求的（如租赁方式），本项最多得5分。 注：供应商须提供服务车辆的行驶证、车辆保险单（交强险及商业险），租赁方式还需提供租赁协议等证明材料，未提供或提供不齐全不得分。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针对本项目服务工作中的常见质量和服务问题进行梳理，供应商可根据自身情况对服务标准、过程管理、质量保证、后续服务等方面作出有利于本项目开展的承诺，每提供1条有效承诺，得1分，最高3分。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供应商提供自2022年1月1日起至响应截止日期，承接的类似项目业绩（以合同签订日期为准），每份合格业绩合同计2分，满分10分； 备注：需提供业绩合同证明材料（至少应包含内容关键页与签章页），未提供或无法辨识的不得分。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供应商根据磋商文件要求报价越野车（或SUV）日租单价。 报价采用低价优先法计算，即满足磋商文件要求且最后响应报价最低的报价为评审基准价，其价格分为满分。其他供应商的价格分统一按照下列公式计算：响应报价得分=（评审基准价/最后报价）×10。 若落实政府采购政策的，以调整后的价格参与评审。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2-分项报价明细表.docx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供应商提供针对本项目采购需求的理解，至少应包括： ①工作重点；②关键点分析；③工作难点；④服务优势；⑤合理化建议。包含但不限于上述全部内容，且方案详细，清晰有利于项目的得满分（如有缺陷或不足在此分数基础上进行扣分），以上5项中：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租赁服务方案</w:t>
            </w:r>
          </w:p>
        </w:tc>
        <w:tc>
          <w:tcPr>
            <w:tcW w:type="dxa" w:w="2492"/>
          </w:tcPr>
          <w:p>
            <w:pPr>
              <w:pStyle w:val="null3"/>
            </w:pPr>
            <w:r>
              <w:rPr>
                <w:rFonts w:ascii="仿宋_GB2312" w:hAnsi="仿宋_GB2312" w:cs="仿宋_GB2312" w:eastAsia="仿宋_GB2312"/>
              </w:rPr>
              <w:t>供应商针对本项目提供的租赁服务方案，至少包含：①车辆配备服务方案；②租赁服务操作流程；③车辆管理调度方案；④车辆检查方案；⑤维修保养方案；⑥服务投诉渠道； 包含但不限于上述全部内容，且方案详细，清晰有利于项目的得满分（如有缺陷或不足在此分数基础上进行扣分），以上6项中，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针对供应商根据自身情况提供对本项目开展的服务保障，至少包含：①服务创新；②服务质量保障和服务监督；③安全经营管理方案；④增值服务；⑤保密承诺； 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供应商针对本项目提供的应急处理方案，至少包含：①车辆故障；②应急、突发性事件；③恶劣天气； 包含但不限于上述全部内容，且方案详细，清晰有利于项目的得满分（如有缺陷或不足在此分数基础上进行扣分），以上3项中，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项目人员</w:t>
            </w:r>
          </w:p>
        </w:tc>
        <w:tc>
          <w:tcPr>
            <w:tcW w:type="dxa" w:w="2492"/>
          </w:tcPr>
          <w:p>
            <w:pPr>
              <w:pStyle w:val="null3"/>
            </w:pPr>
            <w:r>
              <w:rPr>
                <w:rFonts w:ascii="仿宋_GB2312" w:hAnsi="仿宋_GB2312" w:cs="仿宋_GB2312" w:eastAsia="仿宋_GB2312"/>
              </w:rPr>
              <w:t>供应商须提供项目服务人员配置清单或人员配置承诺函，其中： 服务人员年龄不超过50岁，提供机动车驾驶证，每有1人得0.5分；最高得4分，不满足不得分。 注： （1）供应商应提供上述人员机动车驾驶证复印件或扫描件，不提供不得分。 （2）供应商仅提供人员配置清单或承诺函，最高得1分，未提供不得分。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车辆情况</w:t>
            </w:r>
          </w:p>
        </w:tc>
        <w:tc>
          <w:tcPr>
            <w:tcW w:type="dxa" w:w="2492"/>
          </w:tcPr>
          <w:p>
            <w:pPr>
              <w:pStyle w:val="null3"/>
            </w:pPr>
            <w:r>
              <w:rPr>
                <w:rFonts w:ascii="仿宋_GB2312" w:hAnsi="仿宋_GB2312" w:cs="仿宋_GB2312" w:eastAsia="仿宋_GB2312"/>
              </w:rPr>
              <w:t>供应商须提供为项目服务的越野车（或SUV）以及商务车车辆证明材料： （1）供应商提供车辆属于自有车辆，每有1辆满足要求得2分，最高得16分； （2）供应商提供车辆中含有任意组合方式满足服务要求的（如租赁方式），本项最多得5分。 注：供应商须提供服务车辆的行驶证、车辆保险单（交强险及商业险），租赁方式还需提供租赁协议等证明材料，未提供或提供不齐全不得分。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针对本项目服务工作中的常见质量和服务问题进行梳理，供应商可根据自身情况对服务标准、过程管理、质量保证、后续服务等方面作出有利于本项目开展的承诺，每提供1条有效承诺，得1分，最高3分。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供应商提供自2022年1月1日起至响应截止日期，承接的类似项目业绩（以合同签订日期为准），每份合格业绩合同计2分，满分10分； 备注：需提供业绩合同证明材料（至少应包含内容关键页与签章页），未提供或无法辨识的不得分。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供应商根据磋商文件要求报价越野车（或SUV）日租单价。 报价采用低价优先法计算，即满足磋商文件要求且最后响应报价最低的报价为评审基准价，其价格分为满分。其他供应商的价格分统一按照下列公式计算：响应报价得分=（评审基准价/最后报价）×10。 若落实政府采购政策的，以调整后的价格参与评审。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2-分项报价明细表.docx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详见附件：7-保证金缴纳凭证.docx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详见附件：5-拟签订的合同文本.docx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