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版本号：CTSD2025-FW-01620250507001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自然资源业务支撑体系运行维护服务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CTSD2025-FW-016</w:t>
      </w:r>
      <w:r>
        <w:br/>
      </w:r>
      <w:r>
        <w:br/>
      </w:r>
      <w:r>
        <w:br/>
      </w:r>
    </w:p>
    <w:p>
      <w:pPr>
        <w:pStyle w:val="null3"/>
        <w:jc w:val="center"/>
        <w:outlineLvl w:val="2"/>
      </w:pPr>
      <w:r>
        <w:rPr>
          <w:rFonts w:ascii="仿宋_GB2312" w:hAnsi="仿宋_GB2312" w:cs="仿宋_GB2312" w:eastAsia="仿宋_GB2312"/>
          <w:sz w:val="28"/>
          <w:b/>
        </w:rPr>
        <w:t>陕西省自然资源信息中心（陕西省地质资料档案馆）</w:t>
      </w:r>
    </w:p>
    <w:p>
      <w:pPr>
        <w:pStyle w:val="null3"/>
        <w:jc w:val="center"/>
        <w:outlineLvl w:val="2"/>
      </w:pPr>
      <w:r>
        <w:rPr>
          <w:rFonts w:ascii="仿宋_GB2312" w:hAnsi="仿宋_GB2312" w:cs="仿宋_GB2312" w:eastAsia="仿宋_GB2312"/>
          <w:sz w:val="28"/>
          <w:b/>
        </w:rPr>
        <w:t>城投时代（陕西）项目管理有限公司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城投时代（陕西）项目管理有限公司</w:t>
      </w:r>
      <w:r>
        <w:rPr>
          <w:rFonts w:ascii="仿宋_GB2312" w:hAnsi="仿宋_GB2312" w:cs="仿宋_GB2312" w:eastAsia="仿宋_GB2312"/>
        </w:rPr>
        <w:t>（以下简称“代理机构”）受</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委托，拟对</w:t>
      </w:r>
      <w:r>
        <w:rPr>
          <w:rFonts w:ascii="仿宋_GB2312" w:hAnsi="仿宋_GB2312" w:cs="仿宋_GB2312" w:eastAsia="仿宋_GB2312"/>
        </w:rPr>
        <w:t>自然资源业务支撑体系运行维护服务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CTSD2025-FW-016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自然资源业务支撑体系运行维护服务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强数据治理，夯实以数驱动，强化陕西省国土空间信息平台的数据管理能力，建立数据汇聚、存储、治理到应用全生命周期的数据管理体系，保障已完成的“一张网、一张图、一平台和应用体系”高效、可靠、安全运行，开展自然资源业务支撑体系运行维护工作，支撑自然资源业务的深度应用，实现自然资源数据要素赋能，推动自然资源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2、信用记录：不得为“信用中国” 网站（www.creditchina.gov.cn）严重失信主体和重大 税收违法失信主体的供应商，不得为中国政府采购网（www.ccgp.gov.cn）政府 采购严重违法失信行为记录名单中被财政部门禁止参加政府采购活动的的供应商。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陕西省自然资源信息中心（陕西省地质资料档案馆）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陕西省自然资源信息中心经办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029-87852040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城投时代（陕西）项目管理有限公司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陕西省西安市未央区凤城七路联益中心501室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刘力玮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029-89160083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开户名称：城投时代（陕西）项目管理有限公司</w:t>
            </w:r>
          </w:p>
          <w:p>
            <w:pPr>
              <w:pStyle w:val="null3"/>
            </w:pPr>
            <w:r>
              <w:rPr>
                <w:rFonts w:ascii="仿宋_GB2312" w:hAnsi="仿宋_GB2312" w:cs="仿宋_GB2312" w:eastAsia="仿宋_GB2312"/>
              </w:rPr>
              <w:t>开户银行：西安银行股份有限公司高新四路支行</w:t>
            </w:r>
          </w:p>
          <w:p>
            <w:pPr>
              <w:pStyle w:val="null3"/>
            </w:pPr>
            <w:r>
              <w:rPr>
                <w:rFonts w:ascii="仿宋_GB2312" w:hAnsi="仿宋_GB2312" w:cs="仿宋_GB2312" w:eastAsia="仿宋_GB2312"/>
              </w:rPr>
              <w:t>银行账号：611011520000003218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 。 2、支付方式：成交供应商应在领取通知书的同时，支付本项目代理服务费。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和</w:t>
      </w:r>
      <w:r>
        <w:rPr>
          <w:rFonts w:ascii="仿宋_GB2312" w:hAnsi="仿宋_GB2312" w:cs="仿宋_GB2312" w:eastAsia="仿宋_GB2312"/>
        </w:rPr>
        <w:t>城投时代（陕西）项目管理有限公司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负责解释。除上述磋商文件内容，其他内容由</w:t>
      </w:r>
      <w:r>
        <w:rPr>
          <w:rFonts w:ascii="仿宋_GB2312" w:hAnsi="仿宋_GB2312" w:cs="仿宋_GB2312" w:eastAsia="仿宋_GB2312"/>
        </w:rPr>
        <w:t>城投时代（陕西）项目管理有限公司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城投时代（陕西）项目管理有限公司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满足采购需求，按照合同具体约定。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联系人：刘力玮</w:t>
      </w:r>
    </w:p>
    <w:p>
      <w:pPr>
        <w:pStyle w:val="null3"/>
      </w:pPr>
      <w:r>
        <w:rPr>
          <w:rFonts w:ascii="仿宋_GB2312" w:hAnsi="仿宋_GB2312" w:cs="仿宋_GB2312" w:eastAsia="仿宋_GB2312"/>
        </w:rPr>
        <w:t>联系电话：029-89160083</w:t>
      </w:r>
    </w:p>
    <w:p>
      <w:pPr>
        <w:pStyle w:val="null3"/>
      </w:pPr>
      <w:r>
        <w:rPr>
          <w:rFonts w:ascii="仿宋_GB2312" w:hAnsi="仿宋_GB2312" w:cs="仿宋_GB2312" w:eastAsia="仿宋_GB2312"/>
        </w:rPr>
        <w:t>地址：陕西省西安市未央区凤城七路联益中心5楼501室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数据治理，夯实以数驱动，强化陕西省国土空间信息平台的数据管理能力，建立数据汇聚、存储、治理到应用全生命周期的数据管理体系，保障已完成的“一张网、一张图、一平台和应用体系”高效、可靠、安全运行，开展自然资源业务支撑体系运行维护工作，支撑自然资源业务的深度应用，实现自然资源数据要素赋能，推动自然资源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自然资源业务支撑体系运行维护服务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标的名称：自然资源业务支撑体系运行维护服务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240" w:after="240"/>
              <w:jc w:val="left"/>
              <w:outlineLvl w:val="1"/>
            </w:pPr>
            <w:r>
              <w:rPr>
                <w:rFonts w:ascii="仿宋_GB2312" w:hAnsi="仿宋_GB2312" w:cs="仿宋_GB2312" w:eastAsia="仿宋_GB2312"/>
                <w:sz w:val="24"/>
                <w:b/>
                <w:color w:val="000000"/>
              </w:rPr>
              <w:t>一、项目背景</w:t>
            </w:r>
          </w:p>
          <w:p>
            <w:pPr>
              <w:pStyle w:val="null3"/>
              <w:spacing w:before="105" w:after="105"/>
              <w:ind w:firstLine="560"/>
              <w:jc w:val="left"/>
            </w:pPr>
            <w:r>
              <w:rPr>
                <w:rFonts w:ascii="仿宋_GB2312" w:hAnsi="仿宋_GB2312" w:cs="仿宋_GB2312" w:eastAsia="仿宋_GB2312"/>
                <w:sz w:val="24"/>
                <w:color w:val="000000"/>
              </w:rPr>
              <w:t>为加强数据治理，夯实以数驱动，强化陕西省国土空间信息平台的数据管理能力，</w:t>
            </w:r>
            <w:r>
              <w:rPr>
                <w:rFonts w:ascii="仿宋_GB2312" w:hAnsi="仿宋_GB2312" w:cs="仿宋_GB2312" w:eastAsia="仿宋_GB2312"/>
                <w:sz w:val="24"/>
                <w:color w:val="000000"/>
              </w:rPr>
              <w:t>建立数据汇聚、存储、治理到应用全</w:t>
            </w:r>
            <w:r>
              <w:rPr>
                <w:rFonts w:ascii="仿宋_GB2312" w:hAnsi="仿宋_GB2312" w:cs="仿宋_GB2312" w:eastAsia="仿宋_GB2312"/>
                <w:sz w:val="24"/>
                <w:color w:val="000000"/>
              </w:rPr>
              <w:t>生命周期</w:t>
            </w:r>
            <w:r>
              <w:rPr>
                <w:rFonts w:ascii="仿宋_GB2312" w:hAnsi="仿宋_GB2312" w:cs="仿宋_GB2312" w:eastAsia="仿宋_GB2312"/>
                <w:sz w:val="24"/>
                <w:color w:val="000000"/>
              </w:rPr>
              <w:t>的数据</w:t>
            </w:r>
            <w:r>
              <w:rPr>
                <w:rFonts w:ascii="仿宋_GB2312" w:hAnsi="仿宋_GB2312" w:cs="仿宋_GB2312" w:eastAsia="仿宋_GB2312"/>
                <w:sz w:val="24"/>
                <w:color w:val="000000"/>
              </w:rPr>
              <w:t>管理</w:t>
            </w:r>
            <w:r>
              <w:rPr>
                <w:rFonts w:ascii="仿宋_GB2312" w:hAnsi="仿宋_GB2312" w:cs="仿宋_GB2312" w:eastAsia="仿宋_GB2312"/>
                <w:sz w:val="24"/>
                <w:color w:val="000000"/>
              </w:rPr>
              <w:t>体系</w:t>
            </w:r>
            <w:r>
              <w:rPr>
                <w:rFonts w:ascii="仿宋_GB2312" w:hAnsi="仿宋_GB2312" w:cs="仿宋_GB2312" w:eastAsia="仿宋_GB2312"/>
                <w:sz w:val="24"/>
                <w:color w:val="000000"/>
              </w:rPr>
              <w:t>，</w:t>
            </w:r>
            <w:r>
              <w:rPr>
                <w:rFonts w:ascii="仿宋_GB2312" w:hAnsi="仿宋_GB2312" w:cs="仿宋_GB2312" w:eastAsia="仿宋_GB2312"/>
                <w:sz w:val="24"/>
                <w:color w:val="000000"/>
              </w:rPr>
              <w:t>保障</w:t>
            </w:r>
            <w:r>
              <w:rPr>
                <w:rFonts w:ascii="仿宋_GB2312" w:hAnsi="仿宋_GB2312" w:cs="仿宋_GB2312" w:eastAsia="仿宋_GB2312"/>
                <w:sz w:val="24"/>
                <w:color w:val="000000"/>
              </w:rPr>
              <w:t>已完成的</w:t>
            </w:r>
            <w:r>
              <w:rPr>
                <w:rFonts w:ascii="仿宋_GB2312" w:hAnsi="仿宋_GB2312" w:cs="仿宋_GB2312" w:eastAsia="仿宋_GB2312"/>
                <w:sz w:val="24"/>
                <w:color w:val="000000"/>
              </w:rPr>
              <w:t>“一张网、一张图、一平台和应用体系”高效、可靠、安全运行</w:t>
            </w:r>
            <w:r>
              <w:rPr>
                <w:rFonts w:ascii="仿宋_GB2312" w:hAnsi="仿宋_GB2312" w:cs="仿宋_GB2312" w:eastAsia="仿宋_GB2312"/>
                <w:sz w:val="24"/>
                <w:color w:val="000000"/>
              </w:rPr>
              <w:t>，</w:t>
            </w:r>
            <w:r>
              <w:rPr>
                <w:rFonts w:ascii="仿宋_GB2312" w:hAnsi="仿宋_GB2312" w:cs="仿宋_GB2312" w:eastAsia="仿宋_GB2312"/>
                <w:sz w:val="24"/>
                <w:color w:val="000000"/>
              </w:rPr>
              <w:t>开展自然资源业务支撑体系运行维护工作，</w:t>
            </w:r>
            <w:r>
              <w:rPr>
                <w:rFonts w:ascii="仿宋_GB2312" w:hAnsi="仿宋_GB2312" w:cs="仿宋_GB2312" w:eastAsia="仿宋_GB2312"/>
                <w:sz w:val="24"/>
                <w:color w:val="000000"/>
              </w:rPr>
              <w:t>支撑自然资源业务的深度应用</w:t>
            </w:r>
            <w:r>
              <w:rPr>
                <w:rFonts w:ascii="仿宋_GB2312" w:hAnsi="仿宋_GB2312" w:cs="仿宋_GB2312" w:eastAsia="仿宋_GB2312"/>
                <w:sz w:val="24"/>
                <w:color w:val="000000"/>
              </w:rPr>
              <w:t>，实现自然资源数据要素赋能，推动</w:t>
            </w:r>
            <w:r>
              <w:rPr>
                <w:rFonts w:ascii="仿宋_GB2312" w:hAnsi="仿宋_GB2312" w:cs="仿宋_GB2312" w:eastAsia="仿宋_GB2312"/>
                <w:sz w:val="24"/>
                <w:color w:val="000000"/>
              </w:rPr>
              <w:t>自然资源高质量发展</w:t>
            </w:r>
            <w:r>
              <w:rPr>
                <w:rFonts w:ascii="仿宋_GB2312" w:hAnsi="仿宋_GB2312" w:cs="仿宋_GB2312" w:eastAsia="仿宋_GB2312"/>
                <w:sz w:val="24"/>
                <w:color w:val="000000"/>
              </w:rPr>
              <w:t>。</w:t>
            </w:r>
          </w:p>
          <w:p>
            <w:pPr>
              <w:pStyle w:val="null3"/>
              <w:spacing w:before="240" w:after="240"/>
              <w:jc w:val="left"/>
              <w:outlineLvl w:val="1"/>
            </w:pPr>
            <w:r>
              <w:rPr>
                <w:rFonts w:ascii="仿宋_GB2312" w:hAnsi="仿宋_GB2312" w:cs="仿宋_GB2312" w:eastAsia="仿宋_GB2312"/>
                <w:sz w:val="24"/>
                <w:b/>
                <w:color w:val="000000"/>
              </w:rPr>
              <w:t>二、建设依据</w:t>
            </w:r>
          </w:p>
          <w:p>
            <w:pPr>
              <w:pStyle w:val="null3"/>
              <w:spacing w:before="105" w:after="105"/>
              <w:ind w:firstLine="720"/>
              <w:jc w:val="both"/>
            </w:pPr>
            <w:r>
              <w:rPr>
                <w:rFonts w:ascii="仿宋_GB2312" w:hAnsi="仿宋_GB2312" w:cs="仿宋_GB2312" w:eastAsia="仿宋_GB2312"/>
                <w:sz w:val="24"/>
                <w:color w:val="000000"/>
              </w:rPr>
              <w:t>（一）政策文件</w:t>
            </w:r>
          </w:p>
          <w:p>
            <w:pPr>
              <w:pStyle w:val="null3"/>
              <w:spacing w:before="105" w:after="105"/>
              <w:ind w:firstLine="560"/>
              <w:jc w:val="both"/>
            </w:pPr>
            <w:r>
              <w:rPr>
                <w:rFonts w:ascii="仿宋_GB2312" w:hAnsi="仿宋_GB2312" w:cs="仿宋_GB2312" w:eastAsia="仿宋_GB2312"/>
                <w:sz w:val="24"/>
                <w:color w:val="000000"/>
              </w:rPr>
              <w:t>1.《“十四五”推进国家政务信息化规划》（发改高技〔2021〕1898号）</w:t>
            </w:r>
          </w:p>
          <w:p>
            <w:pPr>
              <w:pStyle w:val="null3"/>
              <w:spacing w:before="105" w:after="105"/>
              <w:ind w:firstLine="560"/>
              <w:jc w:val="both"/>
            </w:pPr>
            <w:r>
              <w:rPr>
                <w:rFonts w:ascii="仿宋_GB2312" w:hAnsi="仿宋_GB2312" w:cs="仿宋_GB2312" w:eastAsia="仿宋_GB2312"/>
                <w:sz w:val="24"/>
                <w:color w:val="000000"/>
              </w:rPr>
              <w:t>2.《国务院关于加强数字政府建设的指导意见》（国发〔2022〕14号）</w:t>
            </w:r>
          </w:p>
          <w:p>
            <w:pPr>
              <w:pStyle w:val="null3"/>
              <w:spacing w:before="105" w:after="105"/>
              <w:ind w:firstLine="560"/>
              <w:jc w:val="both"/>
            </w:pPr>
            <w:r>
              <w:rPr>
                <w:rFonts w:ascii="仿宋_GB2312" w:hAnsi="仿宋_GB2312" w:cs="仿宋_GB2312" w:eastAsia="仿宋_GB2312"/>
                <w:sz w:val="24"/>
                <w:color w:val="000000"/>
              </w:rPr>
              <w:t>3.《陕西省数字政府建设“十四五”规划》（陕政办发〔2021〕27号）</w:t>
            </w:r>
          </w:p>
          <w:p>
            <w:pPr>
              <w:pStyle w:val="null3"/>
              <w:spacing w:before="105" w:after="105"/>
              <w:ind w:firstLine="560"/>
              <w:jc w:val="both"/>
            </w:pPr>
            <w:r>
              <w:rPr>
                <w:rFonts w:ascii="仿宋_GB2312" w:hAnsi="仿宋_GB2312" w:cs="仿宋_GB2312" w:eastAsia="仿宋_GB2312"/>
                <w:sz w:val="24"/>
                <w:color w:val="000000"/>
              </w:rPr>
              <w:t>4、《全国国土空间规划实施监测网络建设工作方案（2023-2027）》(自然资办发〔2023〕36号)</w:t>
            </w:r>
          </w:p>
          <w:p>
            <w:pPr>
              <w:pStyle w:val="null3"/>
              <w:spacing w:before="105" w:after="105"/>
              <w:ind w:firstLine="560"/>
              <w:jc w:val="both"/>
            </w:pPr>
            <w:r>
              <w:rPr>
                <w:rFonts w:ascii="仿宋_GB2312" w:hAnsi="仿宋_GB2312" w:cs="仿宋_GB2312" w:eastAsia="仿宋_GB2312"/>
                <w:sz w:val="24"/>
                <w:color w:val="000000"/>
              </w:rPr>
              <w:t>5、《自然资源数字化治理能力提升总体方案》（自然资发〔2024〕33号）</w:t>
            </w:r>
          </w:p>
          <w:p>
            <w:pPr>
              <w:pStyle w:val="null3"/>
              <w:spacing w:before="105" w:after="105"/>
              <w:ind w:firstLine="560"/>
              <w:jc w:val="both"/>
            </w:pPr>
            <w:r>
              <w:rPr>
                <w:rFonts w:ascii="仿宋_GB2312" w:hAnsi="仿宋_GB2312" w:cs="仿宋_GB2312" w:eastAsia="仿宋_GB2312"/>
                <w:sz w:val="24"/>
                <w:color w:val="000000"/>
              </w:rPr>
              <w:t>6、《自然资源领域数据安全管理办法》</w:t>
            </w:r>
          </w:p>
          <w:p>
            <w:pPr>
              <w:pStyle w:val="null3"/>
              <w:spacing w:before="105" w:after="105"/>
              <w:ind w:firstLine="720"/>
              <w:jc w:val="both"/>
            </w:pPr>
            <w:r>
              <w:rPr>
                <w:rFonts w:ascii="仿宋_GB2312" w:hAnsi="仿宋_GB2312" w:cs="仿宋_GB2312" w:eastAsia="仿宋_GB2312"/>
                <w:sz w:val="24"/>
                <w:color w:val="000000"/>
              </w:rPr>
              <w:t>（二）技术规范</w:t>
            </w:r>
          </w:p>
          <w:p>
            <w:pPr>
              <w:pStyle w:val="null3"/>
              <w:spacing w:before="105" w:after="105"/>
              <w:ind w:firstLine="560"/>
              <w:jc w:val="both"/>
            </w:pPr>
            <w:r>
              <w:rPr>
                <w:rFonts w:ascii="仿宋_GB2312" w:hAnsi="仿宋_GB2312" w:cs="仿宋_GB2312" w:eastAsia="仿宋_GB2312"/>
                <w:sz w:val="24"/>
                <w:color w:val="000000"/>
              </w:rPr>
              <w:t>《计算机软件产品开发文件编制指南》（</w:t>
            </w:r>
            <w:r>
              <w:rPr>
                <w:rFonts w:ascii="仿宋_GB2312" w:hAnsi="仿宋_GB2312" w:cs="仿宋_GB2312" w:eastAsia="仿宋_GB2312"/>
                <w:sz w:val="24"/>
                <w:color w:val="000000"/>
              </w:rPr>
              <w:t>GB8567-2006</w:t>
            </w:r>
            <w:r>
              <w:rPr>
                <w:rFonts w:ascii="仿宋_GB2312" w:hAnsi="仿宋_GB2312" w:cs="仿宋_GB2312" w:eastAsia="仿宋_GB2312"/>
                <w:sz w:val="24"/>
                <w:color w:val="000000"/>
              </w:rPr>
              <w:t>）</w:t>
            </w:r>
          </w:p>
          <w:p>
            <w:pPr>
              <w:pStyle w:val="null3"/>
              <w:spacing w:before="105" w:after="105"/>
              <w:ind w:firstLine="560"/>
              <w:jc w:val="both"/>
            </w:pPr>
            <w:r>
              <w:rPr>
                <w:rFonts w:ascii="仿宋_GB2312" w:hAnsi="仿宋_GB2312" w:cs="仿宋_GB2312" w:eastAsia="仿宋_GB2312"/>
                <w:sz w:val="24"/>
                <w:color w:val="000000"/>
              </w:rPr>
              <w:t>《计算机软件需求说明编制指南》（</w:t>
            </w:r>
            <w:r>
              <w:rPr>
                <w:rFonts w:ascii="仿宋_GB2312" w:hAnsi="仿宋_GB2312" w:cs="仿宋_GB2312" w:eastAsia="仿宋_GB2312"/>
                <w:sz w:val="24"/>
                <w:color w:val="000000"/>
              </w:rPr>
              <w:t>GB9385-2008</w:t>
            </w:r>
            <w:r>
              <w:rPr>
                <w:rFonts w:ascii="仿宋_GB2312" w:hAnsi="仿宋_GB2312" w:cs="仿宋_GB2312" w:eastAsia="仿宋_GB2312"/>
                <w:sz w:val="24"/>
                <w:color w:val="000000"/>
              </w:rPr>
              <w:t>）</w:t>
            </w:r>
          </w:p>
          <w:p>
            <w:pPr>
              <w:pStyle w:val="null3"/>
              <w:spacing w:before="105" w:after="105"/>
              <w:ind w:firstLine="560"/>
              <w:jc w:val="both"/>
            </w:pPr>
            <w:r>
              <w:rPr>
                <w:rFonts w:ascii="仿宋_GB2312" w:hAnsi="仿宋_GB2312" w:cs="仿宋_GB2312" w:eastAsia="仿宋_GB2312"/>
                <w:sz w:val="24"/>
                <w:color w:val="000000"/>
              </w:rPr>
              <w:t>《计算机软件测试文档编制规范》（</w:t>
            </w:r>
            <w:r>
              <w:rPr>
                <w:rFonts w:ascii="仿宋_GB2312" w:hAnsi="仿宋_GB2312" w:cs="仿宋_GB2312" w:eastAsia="仿宋_GB2312"/>
                <w:sz w:val="24"/>
                <w:color w:val="000000"/>
              </w:rPr>
              <w:t>GB/T9386-2008</w:t>
            </w:r>
            <w:r>
              <w:rPr>
                <w:rFonts w:ascii="仿宋_GB2312" w:hAnsi="仿宋_GB2312" w:cs="仿宋_GB2312" w:eastAsia="仿宋_GB2312"/>
                <w:sz w:val="24"/>
                <w:color w:val="000000"/>
              </w:rPr>
              <w:t>）</w:t>
            </w:r>
          </w:p>
          <w:p>
            <w:pPr>
              <w:pStyle w:val="null3"/>
              <w:spacing w:before="105" w:after="105"/>
              <w:ind w:firstLine="560"/>
              <w:jc w:val="both"/>
            </w:pPr>
            <w:r>
              <w:rPr>
                <w:rFonts w:ascii="仿宋_GB2312" w:hAnsi="仿宋_GB2312" w:cs="仿宋_GB2312" w:eastAsia="仿宋_GB2312"/>
                <w:sz w:val="24"/>
                <w:color w:val="000000"/>
              </w:rPr>
              <w:t>《软件工程术语》（</w:t>
            </w:r>
            <w:r>
              <w:rPr>
                <w:rFonts w:ascii="仿宋_GB2312" w:hAnsi="仿宋_GB2312" w:cs="仿宋_GB2312" w:eastAsia="仿宋_GB2312"/>
                <w:sz w:val="24"/>
                <w:color w:val="000000"/>
              </w:rPr>
              <w:t>GB/T11457</w:t>
            </w:r>
            <w:r>
              <w:rPr>
                <w:rFonts w:ascii="仿宋_GB2312" w:hAnsi="仿宋_GB2312" w:cs="仿宋_GB2312" w:eastAsia="仿宋_GB2312"/>
                <w:sz w:val="24"/>
                <w:color w:val="000000"/>
              </w:rPr>
              <w:t>）</w:t>
            </w:r>
          </w:p>
          <w:p>
            <w:pPr>
              <w:pStyle w:val="null3"/>
              <w:spacing w:before="105" w:after="105"/>
              <w:ind w:firstLine="560"/>
              <w:jc w:val="both"/>
            </w:pPr>
            <w:r>
              <w:rPr>
                <w:rFonts w:ascii="仿宋_GB2312" w:hAnsi="仿宋_GB2312" w:cs="仿宋_GB2312" w:eastAsia="仿宋_GB2312"/>
                <w:sz w:val="24"/>
                <w:color w:val="000000"/>
              </w:rPr>
              <w:t>《电子证照</w:t>
            </w:r>
            <w:r>
              <w:rPr>
                <w:rFonts w:ascii="仿宋_GB2312" w:hAnsi="仿宋_GB2312" w:cs="仿宋_GB2312" w:eastAsia="仿宋_GB2312"/>
                <w:sz w:val="24"/>
              </w:rPr>
              <w:t xml:space="preserve"> </w:t>
            </w:r>
            <w:r>
              <w:rPr>
                <w:rFonts w:ascii="仿宋_GB2312" w:hAnsi="仿宋_GB2312" w:cs="仿宋_GB2312" w:eastAsia="仿宋_GB2312"/>
                <w:sz w:val="24"/>
                <w:color w:val="000000"/>
              </w:rPr>
              <w:t>共享服务接口规范》（</w:t>
            </w:r>
            <w:r>
              <w:rPr>
                <w:rFonts w:ascii="仿宋_GB2312" w:hAnsi="仿宋_GB2312" w:cs="仿宋_GB2312" w:eastAsia="仿宋_GB2312"/>
                <w:sz w:val="24"/>
                <w:color w:val="000000"/>
              </w:rPr>
              <w:t>GB/T 36906-2018</w:t>
            </w:r>
            <w:r>
              <w:rPr>
                <w:rFonts w:ascii="仿宋_GB2312" w:hAnsi="仿宋_GB2312" w:cs="仿宋_GB2312" w:eastAsia="仿宋_GB2312"/>
                <w:sz w:val="24"/>
                <w:color w:val="000000"/>
              </w:rPr>
              <w:t>）</w:t>
            </w:r>
          </w:p>
          <w:p>
            <w:pPr>
              <w:pStyle w:val="null3"/>
              <w:spacing w:before="105" w:after="105"/>
              <w:ind w:firstLine="560"/>
              <w:jc w:val="both"/>
            </w:pPr>
            <w:r>
              <w:rPr>
                <w:rFonts w:ascii="仿宋_GB2312" w:hAnsi="仿宋_GB2312" w:cs="仿宋_GB2312" w:eastAsia="仿宋_GB2312"/>
                <w:sz w:val="24"/>
                <w:color w:val="000000"/>
              </w:rPr>
              <w:t>《信息安全技术</w:t>
            </w:r>
            <w:r>
              <w:rPr>
                <w:rFonts w:ascii="仿宋_GB2312" w:hAnsi="仿宋_GB2312" w:cs="仿宋_GB2312" w:eastAsia="仿宋_GB2312"/>
                <w:sz w:val="24"/>
              </w:rPr>
              <w:t xml:space="preserve"> </w:t>
            </w:r>
            <w:r>
              <w:rPr>
                <w:rFonts w:ascii="仿宋_GB2312" w:hAnsi="仿宋_GB2312" w:cs="仿宋_GB2312" w:eastAsia="仿宋_GB2312"/>
                <w:sz w:val="24"/>
                <w:color w:val="000000"/>
              </w:rPr>
              <w:t>网络安全等级保护基本要求》（</w:t>
            </w:r>
            <w:r>
              <w:rPr>
                <w:rFonts w:ascii="仿宋_GB2312" w:hAnsi="仿宋_GB2312" w:cs="仿宋_GB2312" w:eastAsia="仿宋_GB2312"/>
                <w:sz w:val="24"/>
                <w:color w:val="000000"/>
              </w:rPr>
              <w:t>GB/T22239</w:t>
            </w:r>
            <w:r>
              <w:rPr>
                <w:rFonts w:ascii="仿宋_GB2312" w:hAnsi="仿宋_GB2312" w:cs="仿宋_GB2312" w:eastAsia="仿宋_GB2312"/>
                <w:sz w:val="24"/>
                <w:color w:val="000000"/>
              </w:rPr>
              <w:t>）</w:t>
            </w:r>
          </w:p>
          <w:p>
            <w:pPr>
              <w:pStyle w:val="null3"/>
              <w:spacing w:before="105" w:after="105"/>
              <w:ind w:firstLine="560"/>
              <w:jc w:val="both"/>
            </w:pPr>
            <w:r>
              <w:rPr>
                <w:rFonts w:ascii="仿宋_GB2312" w:hAnsi="仿宋_GB2312" w:cs="仿宋_GB2312" w:eastAsia="仿宋_GB2312"/>
                <w:sz w:val="24"/>
                <w:color w:val="000000"/>
              </w:rPr>
              <w:t>《信息安全技术</w:t>
            </w:r>
            <w:r>
              <w:rPr>
                <w:rFonts w:ascii="仿宋_GB2312" w:hAnsi="仿宋_GB2312" w:cs="仿宋_GB2312" w:eastAsia="仿宋_GB2312"/>
                <w:sz w:val="24"/>
              </w:rPr>
              <w:t xml:space="preserve"> </w:t>
            </w:r>
            <w:r>
              <w:rPr>
                <w:rFonts w:ascii="仿宋_GB2312" w:hAnsi="仿宋_GB2312" w:cs="仿宋_GB2312" w:eastAsia="仿宋_GB2312"/>
                <w:sz w:val="24"/>
                <w:color w:val="000000"/>
              </w:rPr>
              <w:t>网络安全等级保护定级指南》（</w:t>
            </w:r>
            <w:r>
              <w:rPr>
                <w:rFonts w:ascii="仿宋_GB2312" w:hAnsi="仿宋_GB2312" w:cs="仿宋_GB2312" w:eastAsia="仿宋_GB2312"/>
                <w:sz w:val="24"/>
                <w:color w:val="000000"/>
              </w:rPr>
              <w:t>GB/T22240</w:t>
            </w:r>
            <w:r>
              <w:rPr>
                <w:rFonts w:ascii="仿宋_GB2312" w:hAnsi="仿宋_GB2312" w:cs="仿宋_GB2312" w:eastAsia="仿宋_GB2312"/>
                <w:sz w:val="24"/>
                <w:color w:val="000000"/>
              </w:rPr>
              <w:t>）</w:t>
            </w:r>
          </w:p>
          <w:p>
            <w:pPr>
              <w:pStyle w:val="null3"/>
              <w:spacing w:before="105" w:after="105"/>
              <w:ind w:firstLine="560"/>
              <w:jc w:val="both"/>
            </w:pPr>
            <w:r>
              <w:rPr>
                <w:rFonts w:ascii="仿宋_GB2312" w:hAnsi="仿宋_GB2312" w:cs="仿宋_GB2312" w:eastAsia="仿宋_GB2312"/>
                <w:sz w:val="24"/>
                <w:color w:val="000000"/>
              </w:rPr>
              <w:t>《信息安全技术</w:t>
            </w:r>
            <w:r>
              <w:rPr>
                <w:rFonts w:ascii="仿宋_GB2312" w:hAnsi="仿宋_GB2312" w:cs="仿宋_GB2312" w:eastAsia="仿宋_GB2312"/>
                <w:sz w:val="24"/>
              </w:rPr>
              <w:t xml:space="preserve"> </w:t>
            </w:r>
            <w:r>
              <w:rPr>
                <w:rFonts w:ascii="仿宋_GB2312" w:hAnsi="仿宋_GB2312" w:cs="仿宋_GB2312" w:eastAsia="仿宋_GB2312"/>
                <w:sz w:val="24"/>
                <w:color w:val="000000"/>
              </w:rPr>
              <w:t>信息系统密码应用基本要求》（</w:t>
            </w:r>
            <w:r>
              <w:rPr>
                <w:rFonts w:ascii="仿宋_GB2312" w:hAnsi="仿宋_GB2312" w:cs="仿宋_GB2312" w:eastAsia="仿宋_GB2312"/>
                <w:sz w:val="24"/>
                <w:color w:val="000000"/>
              </w:rPr>
              <w:t>GB/T39786</w:t>
            </w:r>
            <w:r>
              <w:rPr>
                <w:rFonts w:ascii="仿宋_GB2312" w:hAnsi="仿宋_GB2312" w:cs="仿宋_GB2312" w:eastAsia="仿宋_GB2312"/>
                <w:sz w:val="24"/>
                <w:color w:val="000000"/>
              </w:rPr>
              <w:t>）</w:t>
            </w:r>
          </w:p>
          <w:p>
            <w:pPr>
              <w:pStyle w:val="null3"/>
              <w:spacing w:before="240" w:after="240"/>
              <w:jc w:val="left"/>
              <w:outlineLvl w:val="1"/>
            </w:pPr>
            <w:r>
              <w:rPr>
                <w:rFonts w:ascii="仿宋_GB2312" w:hAnsi="仿宋_GB2312" w:cs="仿宋_GB2312" w:eastAsia="仿宋_GB2312"/>
                <w:sz w:val="24"/>
                <w:b/>
                <w:color w:val="000000"/>
              </w:rPr>
              <w:t>三、主要任务</w:t>
            </w:r>
          </w:p>
          <w:p>
            <w:pPr>
              <w:pStyle w:val="null3"/>
              <w:spacing w:before="105" w:after="105"/>
              <w:ind w:firstLine="560"/>
              <w:jc w:val="both"/>
            </w:pPr>
            <w:r>
              <w:rPr>
                <w:rFonts w:ascii="仿宋_GB2312" w:hAnsi="仿宋_GB2312" w:cs="仿宋_GB2312" w:eastAsia="仿宋_GB2312"/>
                <w:sz w:val="24"/>
                <w:color w:val="000000"/>
              </w:rPr>
              <w:t>本项目建设内容主要包括</w:t>
            </w:r>
            <w:r>
              <w:rPr>
                <w:rFonts w:ascii="仿宋_GB2312" w:hAnsi="仿宋_GB2312" w:cs="仿宋_GB2312" w:eastAsia="仿宋_GB2312"/>
                <w:sz w:val="24"/>
                <w:color w:val="000000"/>
              </w:rPr>
              <w:t>“一张图”运维、“一平台”运维、应用系统运维三个方面：</w:t>
            </w:r>
          </w:p>
          <w:p>
            <w:pPr>
              <w:pStyle w:val="null3"/>
              <w:spacing w:before="105" w:after="105"/>
              <w:ind w:firstLine="560"/>
              <w:jc w:val="both"/>
            </w:pPr>
            <w:r>
              <w:rPr>
                <w:rFonts w:ascii="仿宋_GB2312" w:hAnsi="仿宋_GB2312" w:cs="仿宋_GB2312" w:eastAsia="仿宋_GB2312"/>
                <w:sz w:val="24"/>
                <w:color w:val="000000"/>
              </w:rPr>
              <w:t>（一）</w:t>
            </w:r>
            <w:r>
              <w:rPr>
                <w:rFonts w:ascii="仿宋_GB2312" w:hAnsi="仿宋_GB2312" w:cs="仿宋_GB2312" w:eastAsia="仿宋_GB2312"/>
                <w:sz w:val="24"/>
                <w:color w:val="000000"/>
              </w:rPr>
              <w:t>“一张图”运维</w:t>
            </w:r>
          </w:p>
          <w:p>
            <w:pPr>
              <w:pStyle w:val="null3"/>
              <w:spacing w:before="105" w:after="105"/>
              <w:ind w:firstLine="560"/>
              <w:jc w:val="both"/>
            </w:pPr>
            <w:r>
              <w:rPr>
                <w:rFonts w:ascii="仿宋_GB2312" w:hAnsi="仿宋_GB2312" w:cs="仿宋_GB2312" w:eastAsia="仿宋_GB2312"/>
                <w:sz w:val="24"/>
                <w:color w:val="000000"/>
              </w:rPr>
              <w:t>根据自然资源业务需求持续整合提升</w:t>
            </w:r>
            <w:r>
              <w:rPr>
                <w:rFonts w:ascii="仿宋_GB2312" w:hAnsi="仿宋_GB2312" w:cs="仿宋_GB2312" w:eastAsia="仿宋_GB2312"/>
                <w:sz w:val="24"/>
                <w:color w:val="000000"/>
              </w:rPr>
              <w:t>“一张图”数据汇聚能力，持续丰富自然资源“一张图”，通过人工、接口、前置库等手段实现全省自然资源数据的汇聚和动态更新，构建全覆盖的自然资源数据体系，推进自然资源数据“统进、统汇、统出”。通过数据定源、汇聚、治理、提取、挖掘等一体化管理，</w:t>
            </w:r>
            <w:r>
              <w:rPr>
                <w:rFonts w:ascii="仿宋_GB2312" w:hAnsi="仿宋_GB2312" w:cs="仿宋_GB2312" w:eastAsia="仿宋_GB2312"/>
                <w:sz w:val="24"/>
                <w:color w:val="000000"/>
              </w:rPr>
              <w:t>实现自然资源数据有效治理，保障数据标准、精度、质量与安全</w:t>
            </w:r>
            <w:r>
              <w:rPr>
                <w:rFonts w:ascii="仿宋_GB2312" w:hAnsi="仿宋_GB2312" w:cs="仿宋_GB2312" w:eastAsia="仿宋_GB2312"/>
                <w:sz w:val="24"/>
                <w:color w:val="000000"/>
              </w:rPr>
              <w:t>，为业务决策提供可靠的数据底座，全面支撑自然资源数据统一管理和应用。</w:t>
            </w:r>
          </w:p>
          <w:p>
            <w:pPr>
              <w:pStyle w:val="null3"/>
              <w:spacing w:before="105" w:after="105"/>
              <w:ind w:firstLine="560"/>
              <w:jc w:val="both"/>
            </w:pPr>
            <w:r>
              <w:rPr>
                <w:rFonts w:ascii="仿宋_GB2312" w:hAnsi="仿宋_GB2312" w:cs="仿宋_GB2312" w:eastAsia="仿宋_GB2312"/>
                <w:sz w:val="24"/>
                <w:color w:val="000000"/>
              </w:rPr>
              <w:t>（二）</w:t>
            </w:r>
            <w:r>
              <w:rPr>
                <w:rFonts w:ascii="仿宋_GB2312" w:hAnsi="仿宋_GB2312" w:cs="仿宋_GB2312" w:eastAsia="仿宋_GB2312"/>
                <w:sz w:val="24"/>
                <w:color w:val="000000"/>
              </w:rPr>
              <w:t>“一平台”运维</w:t>
            </w:r>
          </w:p>
          <w:p>
            <w:pPr>
              <w:pStyle w:val="null3"/>
              <w:spacing w:before="105" w:after="105"/>
              <w:ind w:firstLine="560"/>
              <w:jc w:val="both"/>
            </w:pPr>
            <w:r>
              <w:rPr>
                <w:rFonts w:ascii="仿宋_GB2312" w:hAnsi="仿宋_GB2312" w:cs="仿宋_GB2312" w:eastAsia="仿宋_GB2312"/>
                <w:sz w:val="24"/>
                <w:color w:val="000000"/>
              </w:rPr>
              <w:t>开展空间基础信息平台运维工作，强化平台的数据管理能力，整合后的数据成果由国土空间基础信息平台统一对外提供数据共享服务，实现各系统间的数据打通与共享。在确保信息安全的前提下，实现数据分级分类管理，逐步促进横向各部门、纵向各层级之间的联通协同，实现数据共享、能力共享。</w:t>
            </w:r>
          </w:p>
          <w:p>
            <w:pPr>
              <w:pStyle w:val="null3"/>
              <w:spacing w:before="105" w:after="105"/>
              <w:ind w:firstLine="560"/>
              <w:jc w:val="both"/>
            </w:pPr>
            <w:r>
              <w:rPr>
                <w:rFonts w:ascii="仿宋_GB2312" w:hAnsi="仿宋_GB2312" w:cs="仿宋_GB2312" w:eastAsia="仿宋_GB2312"/>
                <w:sz w:val="24"/>
                <w:color w:val="000000"/>
              </w:rPr>
              <w:t>（三）应用系统运维</w:t>
            </w:r>
          </w:p>
          <w:p>
            <w:pPr>
              <w:pStyle w:val="null3"/>
              <w:spacing w:before="105" w:after="105"/>
              <w:ind w:firstLine="560"/>
              <w:jc w:val="both"/>
            </w:pPr>
            <w:r>
              <w:rPr>
                <w:rFonts w:ascii="仿宋_GB2312" w:hAnsi="仿宋_GB2312" w:cs="仿宋_GB2312" w:eastAsia="仿宋_GB2312"/>
                <w:sz w:val="24"/>
                <w:color w:val="000000"/>
              </w:rPr>
              <w:t>保障避灾搬迁信息化管理系统运行维护工作，包括日常技术支持、</w:t>
            </w:r>
            <w:r>
              <w:rPr>
                <w:rFonts w:ascii="仿宋_GB2312" w:hAnsi="仿宋_GB2312" w:cs="仿宋_GB2312" w:eastAsia="仿宋_GB2312"/>
                <w:sz w:val="24"/>
                <w:color w:val="000000"/>
              </w:rPr>
              <w:t>功能维护</w:t>
            </w:r>
            <w:r>
              <w:rPr>
                <w:rFonts w:ascii="仿宋_GB2312" w:hAnsi="仿宋_GB2312" w:cs="仿宋_GB2312" w:eastAsia="仿宋_GB2312"/>
                <w:sz w:val="24"/>
                <w:color w:val="000000"/>
              </w:rPr>
              <w:t>、安全漏洞修复、故障检测与排查、系统规划建议、技术保障等；</w:t>
            </w:r>
            <w:r>
              <w:rPr>
                <w:rFonts w:ascii="仿宋_GB2312" w:hAnsi="仿宋_GB2312" w:cs="仿宋_GB2312" w:eastAsia="仿宋_GB2312"/>
                <w:sz w:val="24"/>
                <w:color w:val="000000"/>
              </w:rPr>
              <w:t>对象信息修正、数据清洗，数据比对</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数据统计、整理</w:t>
            </w:r>
            <w:r>
              <w:rPr>
                <w:rFonts w:ascii="仿宋_GB2312" w:hAnsi="仿宋_GB2312" w:cs="仿宋_GB2312" w:eastAsia="仿宋_GB2312"/>
                <w:sz w:val="24"/>
                <w:color w:val="000000"/>
              </w:rPr>
              <w:t>等</w:t>
            </w:r>
            <w:r>
              <w:rPr>
                <w:rFonts w:ascii="仿宋_GB2312" w:hAnsi="仿宋_GB2312" w:cs="仿宋_GB2312" w:eastAsia="仿宋_GB2312"/>
                <w:sz w:val="24"/>
                <w:color w:val="000000"/>
              </w:rPr>
              <w:t>，为省级提供相关统计数据</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3"/>
              <w:spacing w:before="240" w:after="240"/>
              <w:jc w:val="left"/>
              <w:outlineLvl w:val="1"/>
            </w:pPr>
            <w:r>
              <w:rPr>
                <w:rFonts w:ascii="仿宋_GB2312" w:hAnsi="仿宋_GB2312" w:cs="仿宋_GB2312" w:eastAsia="仿宋_GB2312"/>
                <w:sz w:val="24"/>
                <w:b/>
                <w:color w:val="000000"/>
              </w:rPr>
              <w:t>四、技术指标要求</w:t>
            </w:r>
          </w:p>
          <w:p>
            <w:pPr>
              <w:pStyle w:val="null3"/>
              <w:spacing w:before="105" w:after="105"/>
              <w:ind w:firstLine="560"/>
              <w:jc w:val="both"/>
            </w:pPr>
            <w:r>
              <w:rPr>
                <w:rFonts w:ascii="仿宋_GB2312" w:hAnsi="仿宋_GB2312" w:cs="仿宋_GB2312" w:eastAsia="仿宋_GB2312"/>
                <w:sz w:val="24"/>
                <w:color w:val="000000"/>
              </w:rPr>
              <w:t>（一）总体要求</w:t>
            </w:r>
          </w:p>
          <w:p>
            <w:pPr>
              <w:pStyle w:val="null3"/>
              <w:spacing w:before="105" w:after="105"/>
              <w:ind w:firstLine="560"/>
              <w:jc w:val="both"/>
            </w:pPr>
            <w:r>
              <w:rPr>
                <w:rFonts w:ascii="仿宋_GB2312" w:hAnsi="仿宋_GB2312" w:cs="仿宋_GB2312" w:eastAsia="仿宋_GB2312"/>
                <w:sz w:val="24"/>
                <w:color w:val="000000"/>
              </w:rPr>
              <w:t>本项目需遵循陕西省自然资源厅信息化建设相关要求。具体技术规格要求包括如下：</w:t>
            </w:r>
          </w:p>
          <w:p>
            <w:pPr>
              <w:pStyle w:val="null3"/>
              <w:spacing w:before="105" w:after="105"/>
              <w:ind w:firstLine="56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、开展常态化运行维护，建立系统运维的应急预案、故障定位、问题处理方法，提升故障处理效率，确保相关信息系统稳定、安全、可靠运行。</w:t>
            </w:r>
          </w:p>
          <w:p>
            <w:pPr>
              <w:pStyle w:val="null3"/>
              <w:spacing w:before="105" w:after="105"/>
              <w:ind w:firstLine="56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、及时响应用户诉求，匹配业务需求，通过软件培训、技术保障，确保相关信息系统高效运行。</w:t>
            </w:r>
          </w:p>
          <w:p>
            <w:pPr>
              <w:pStyle w:val="null3"/>
              <w:spacing w:before="105" w:after="105"/>
              <w:ind w:firstLine="560"/>
              <w:jc w:val="both"/>
            </w:pPr>
            <w:r>
              <w:rPr>
                <w:rFonts w:ascii="仿宋_GB2312" w:hAnsi="仿宋_GB2312" w:cs="仿宋_GB2312" w:eastAsia="仿宋_GB2312"/>
                <w:sz w:val="24"/>
                <w:color w:val="000000"/>
              </w:rPr>
              <w:t>（二）</w:t>
            </w:r>
            <w:r>
              <w:rPr>
                <w:rFonts w:ascii="仿宋_GB2312" w:hAnsi="仿宋_GB2312" w:cs="仿宋_GB2312" w:eastAsia="仿宋_GB2312"/>
                <w:sz w:val="24"/>
                <w:color w:val="000000"/>
              </w:rPr>
              <w:t>应用</w:t>
            </w:r>
            <w:r>
              <w:rPr>
                <w:rFonts w:ascii="仿宋_GB2312" w:hAnsi="仿宋_GB2312" w:cs="仿宋_GB2312" w:eastAsia="仿宋_GB2312"/>
                <w:sz w:val="24"/>
                <w:color w:val="000000"/>
              </w:rPr>
              <w:t>系统性能要求</w:t>
            </w:r>
          </w:p>
          <w:p>
            <w:pPr>
              <w:pStyle w:val="null3"/>
              <w:spacing w:before="105" w:after="105"/>
              <w:ind w:firstLine="56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、系统具备可靠性和稳定性，支持</w:t>
            </w:r>
            <w:r>
              <w:rPr>
                <w:rFonts w:ascii="仿宋_GB2312" w:hAnsi="仿宋_GB2312" w:cs="仿宋_GB2312" w:eastAsia="仿宋_GB2312"/>
                <w:sz w:val="24"/>
                <w:color w:val="000000"/>
              </w:rPr>
              <w:t>7*24</w:t>
            </w:r>
            <w:r>
              <w:rPr>
                <w:rFonts w:ascii="仿宋_GB2312" w:hAnsi="仿宋_GB2312" w:cs="仿宋_GB2312" w:eastAsia="仿宋_GB2312"/>
                <w:sz w:val="24"/>
                <w:color w:val="000000"/>
              </w:rPr>
              <w:t>小时在线服务。</w:t>
            </w:r>
          </w:p>
          <w:p>
            <w:pPr>
              <w:pStyle w:val="null3"/>
              <w:spacing w:before="105" w:after="105"/>
              <w:ind w:firstLine="56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、支持用户数</w:t>
            </w:r>
            <w:r>
              <w:rPr>
                <w:rFonts w:ascii="仿宋_GB2312" w:hAnsi="仿宋_GB2312" w:cs="仿宋_GB2312" w:eastAsia="仿宋_GB2312"/>
                <w:sz w:val="24"/>
                <w:color w:val="000000"/>
              </w:rPr>
              <w:t>5</w:t>
            </w:r>
            <w:r>
              <w:rPr>
                <w:rFonts w:ascii="仿宋_GB2312" w:hAnsi="仿宋_GB2312" w:cs="仿宋_GB2312" w:eastAsia="仿宋_GB2312"/>
                <w:sz w:val="24"/>
                <w:color w:val="000000"/>
              </w:rPr>
              <w:t>00</w:t>
            </w:r>
            <w:r>
              <w:rPr>
                <w:rFonts w:ascii="仿宋_GB2312" w:hAnsi="仿宋_GB2312" w:cs="仿宋_GB2312" w:eastAsia="仿宋_GB2312"/>
                <w:sz w:val="24"/>
                <w:color w:val="000000"/>
              </w:rPr>
              <w:t>，数据应支持</w:t>
            </w:r>
            <w:r>
              <w:rPr>
                <w:rFonts w:ascii="仿宋_GB2312" w:hAnsi="仿宋_GB2312" w:cs="仿宋_GB2312" w:eastAsia="仿宋_GB2312"/>
                <w:sz w:val="24"/>
                <w:color w:val="000000"/>
              </w:rPr>
              <w:t>2</w:t>
            </w:r>
            <w:r>
              <w:rPr>
                <w:rFonts w:ascii="仿宋_GB2312" w:hAnsi="仿宋_GB2312" w:cs="仿宋_GB2312" w:eastAsia="仿宋_GB2312"/>
                <w:sz w:val="24"/>
                <w:color w:val="000000"/>
              </w:rPr>
              <w:t>00</w:t>
            </w:r>
            <w:r>
              <w:rPr>
                <w:rFonts w:ascii="仿宋_GB2312" w:hAnsi="仿宋_GB2312" w:cs="仿宋_GB2312" w:eastAsia="仿宋_GB2312"/>
                <w:sz w:val="24"/>
                <w:color w:val="000000"/>
              </w:rPr>
              <w:t>用户的并发访问能力。</w:t>
            </w:r>
          </w:p>
          <w:p>
            <w:pPr>
              <w:pStyle w:val="null3"/>
              <w:spacing w:before="105" w:after="105"/>
              <w:ind w:firstLine="56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、系统响应速度指标。在最大并发访问情况下，系统数据查询平均响应时间小于</w:t>
            </w:r>
            <w:r>
              <w:rPr>
                <w:rFonts w:ascii="仿宋_GB2312" w:hAnsi="仿宋_GB2312" w:cs="仿宋_GB2312" w:eastAsia="仿宋_GB2312"/>
                <w:sz w:val="24"/>
                <w:color w:val="000000"/>
              </w:rPr>
              <w:t>2</w:t>
            </w:r>
            <w:r>
              <w:rPr>
                <w:rFonts w:ascii="仿宋_GB2312" w:hAnsi="仿宋_GB2312" w:cs="仿宋_GB2312" w:eastAsia="仿宋_GB2312"/>
                <w:sz w:val="24"/>
                <w:color w:val="000000"/>
              </w:rPr>
              <w:t>秒；在最大并发访问情况下，数据浏览单屏响应在</w:t>
            </w:r>
            <w:r>
              <w:rPr>
                <w:rFonts w:ascii="仿宋_GB2312" w:hAnsi="仿宋_GB2312" w:cs="仿宋_GB2312" w:eastAsia="仿宋_GB2312"/>
                <w:sz w:val="24"/>
                <w:color w:val="000000"/>
              </w:rPr>
              <w:t>2</w:t>
            </w:r>
            <w:r>
              <w:rPr>
                <w:rFonts w:ascii="仿宋_GB2312" w:hAnsi="仿宋_GB2312" w:cs="仿宋_GB2312" w:eastAsia="仿宋_GB2312"/>
                <w:sz w:val="24"/>
                <w:color w:val="000000"/>
              </w:rPr>
              <w:t>秒以内，在全省范围内数据查询平均响应时间不超过</w:t>
            </w:r>
            <w:r>
              <w:rPr>
                <w:rFonts w:ascii="仿宋_GB2312" w:hAnsi="仿宋_GB2312" w:cs="仿宋_GB2312" w:eastAsia="仿宋_GB2312"/>
                <w:sz w:val="24"/>
                <w:color w:val="000000"/>
              </w:rPr>
              <w:t>5</w:t>
            </w:r>
            <w:r>
              <w:rPr>
                <w:rFonts w:ascii="仿宋_GB2312" w:hAnsi="仿宋_GB2312" w:cs="仿宋_GB2312" w:eastAsia="仿宋_GB2312"/>
                <w:sz w:val="24"/>
                <w:color w:val="000000"/>
              </w:rPr>
              <w:t>秒。</w:t>
            </w:r>
          </w:p>
          <w:p>
            <w:pPr>
              <w:pStyle w:val="null3"/>
              <w:spacing w:before="105" w:after="105"/>
              <w:ind w:firstLine="560"/>
              <w:jc w:val="both"/>
            </w:pPr>
            <w:r>
              <w:rPr>
                <w:rFonts w:ascii="仿宋_GB2312" w:hAnsi="仿宋_GB2312" w:cs="仿宋_GB2312" w:eastAsia="仿宋_GB2312"/>
                <w:sz w:val="24"/>
                <w:color w:val="000000"/>
              </w:rPr>
              <w:t>（三）应用</w:t>
            </w:r>
            <w:r>
              <w:rPr>
                <w:rFonts w:ascii="仿宋_GB2312" w:hAnsi="仿宋_GB2312" w:cs="仿宋_GB2312" w:eastAsia="仿宋_GB2312"/>
                <w:sz w:val="24"/>
                <w:color w:val="000000"/>
              </w:rPr>
              <w:t>系统可靠性要求</w:t>
            </w:r>
          </w:p>
          <w:p>
            <w:pPr>
              <w:pStyle w:val="null3"/>
              <w:spacing w:before="105" w:after="105"/>
              <w:ind w:firstLine="56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、系统稳定性指标。要求系统性能稳定、可靠，</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24</w:t>
            </w:r>
            <w:r>
              <w:rPr>
                <w:rFonts w:ascii="仿宋_GB2312" w:hAnsi="仿宋_GB2312" w:cs="仿宋_GB2312" w:eastAsia="仿宋_GB2312"/>
                <w:sz w:val="24"/>
                <w:color w:val="000000"/>
              </w:rPr>
              <w:t>小时运行期间，系统的有效工作时间要求</w:t>
            </w:r>
            <w:r>
              <w:rPr>
                <w:rFonts w:ascii="仿宋_GB2312" w:hAnsi="仿宋_GB2312" w:cs="仿宋_GB2312" w:eastAsia="仿宋_GB2312"/>
                <w:sz w:val="24"/>
                <w:color w:val="000000"/>
              </w:rPr>
              <w:t>≥99.5%</w:t>
            </w:r>
            <w:r>
              <w:rPr>
                <w:rFonts w:ascii="仿宋_GB2312" w:hAnsi="仿宋_GB2312" w:cs="仿宋_GB2312" w:eastAsia="仿宋_GB2312"/>
                <w:sz w:val="24"/>
                <w:color w:val="000000"/>
              </w:rPr>
              <w:t>。</w:t>
            </w:r>
          </w:p>
          <w:p>
            <w:pPr>
              <w:pStyle w:val="null3"/>
              <w:spacing w:before="105" w:after="105"/>
              <w:ind w:firstLine="56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、系统平均故障间隔时间</w:t>
            </w:r>
            <w:r>
              <w:rPr>
                <w:rFonts w:ascii="仿宋_GB2312" w:hAnsi="仿宋_GB2312" w:cs="仿宋_GB2312" w:eastAsia="仿宋_GB2312"/>
                <w:sz w:val="24"/>
                <w:color w:val="000000"/>
              </w:rPr>
              <w:t>≥10000h</w:t>
            </w:r>
            <w:r>
              <w:rPr>
                <w:rFonts w:ascii="仿宋_GB2312" w:hAnsi="仿宋_GB2312" w:cs="仿宋_GB2312" w:eastAsia="仿宋_GB2312"/>
                <w:sz w:val="24"/>
                <w:color w:val="000000"/>
              </w:rPr>
              <w:t>；故障响应时间</w:t>
            </w:r>
            <w:r>
              <w:rPr>
                <w:rFonts w:ascii="仿宋_GB2312" w:hAnsi="仿宋_GB2312" w:cs="仿宋_GB2312" w:eastAsia="仿宋_GB2312"/>
                <w:sz w:val="24"/>
                <w:color w:val="000000"/>
              </w:rPr>
              <w:t>≤2h</w:t>
            </w:r>
            <w:r>
              <w:rPr>
                <w:rFonts w:ascii="仿宋_GB2312" w:hAnsi="仿宋_GB2312" w:cs="仿宋_GB2312" w:eastAsia="仿宋_GB2312"/>
                <w:sz w:val="24"/>
                <w:color w:val="000000"/>
              </w:rPr>
              <w:t>；平均故障恢复时间</w:t>
            </w:r>
            <w:r>
              <w:rPr>
                <w:rFonts w:ascii="仿宋_GB2312" w:hAnsi="仿宋_GB2312" w:cs="仿宋_GB2312" w:eastAsia="仿宋_GB2312"/>
                <w:sz w:val="24"/>
                <w:color w:val="000000"/>
              </w:rPr>
              <w:t>≤8h</w:t>
            </w:r>
            <w:r>
              <w:rPr>
                <w:rFonts w:ascii="仿宋_GB2312" w:hAnsi="仿宋_GB2312" w:cs="仿宋_GB2312" w:eastAsia="仿宋_GB2312"/>
                <w:sz w:val="24"/>
                <w:color w:val="000000"/>
              </w:rPr>
              <w:t>；现场服务响应时间</w:t>
            </w:r>
            <w:r>
              <w:rPr>
                <w:rFonts w:ascii="仿宋_GB2312" w:hAnsi="仿宋_GB2312" w:cs="仿宋_GB2312" w:eastAsia="仿宋_GB2312"/>
                <w:sz w:val="24"/>
                <w:color w:val="000000"/>
              </w:rPr>
              <w:t>≤24h</w:t>
            </w:r>
            <w:r>
              <w:rPr>
                <w:rFonts w:ascii="仿宋_GB2312" w:hAnsi="仿宋_GB2312" w:cs="仿宋_GB2312" w:eastAsia="仿宋_GB2312"/>
                <w:sz w:val="24"/>
                <w:color w:val="000000"/>
              </w:rPr>
              <w:t>。</w:t>
            </w:r>
          </w:p>
          <w:p>
            <w:pPr>
              <w:pStyle w:val="null3"/>
              <w:spacing w:before="105" w:after="105"/>
              <w:ind w:firstLine="560"/>
              <w:jc w:val="both"/>
            </w:pPr>
            <w:r>
              <w:rPr>
                <w:rFonts w:ascii="仿宋_GB2312" w:hAnsi="仿宋_GB2312" w:cs="仿宋_GB2312" w:eastAsia="仿宋_GB2312"/>
                <w:sz w:val="24"/>
                <w:color w:val="000000"/>
              </w:rPr>
              <w:t>（四）系统安全相关要求</w:t>
            </w:r>
          </w:p>
          <w:p>
            <w:pPr>
              <w:pStyle w:val="null3"/>
              <w:spacing w:before="105" w:after="105"/>
              <w:ind w:firstLine="56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、系统开发</w:t>
            </w:r>
            <w:r>
              <w:rPr>
                <w:rFonts w:ascii="仿宋_GB2312" w:hAnsi="仿宋_GB2312" w:cs="仿宋_GB2312" w:eastAsia="仿宋_GB2312"/>
                <w:sz w:val="24"/>
                <w:color w:val="000000"/>
              </w:rPr>
              <w:t>、数据安全</w:t>
            </w:r>
            <w:r>
              <w:rPr>
                <w:rFonts w:ascii="仿宋_GB2312" w:hAnsi="仿宋_GB2312" w:cs="仿宋_GB2312" w:eastAsia="仿宋_GB2312"/>
                <w:sz w:val="24"/>
                <w:color w:val="000000"/>
              </w:rPr>
              <w:t>必须符合国家和自然资源部系统安全相关管理规定。</w:t>
            </w:r>
          </w:p>
          <w:p>
            <w:pPr>
              <w:pStyle w:val="null3"/>
              <w:spacing w:before="105" w:after="105"/>
              <w:ind w:firstLine="56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、系统需要有严格的用户和使用权限要求。</w:t>
            </w:r>
          </w:p>
          <w:p>
            <w:pPr>
              <w:pStyle w:val="null3"/>
              <w:spacing w:before="105" w:after="105"/>
              <w:ind w:firstLine="56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、建立定期备份机制，系统应具备相应的备份与恢复功能，要求保持系统数据最新，并保证能够快速有效地恢复数据。</w:t>
            </w:r>
          </w:p>
          <w:p>
            <w:pPr>
              <w:pStyle w:val="null3"/>
              <w:spacing w:before="105" w:after="105"/>
              <w:ind w:firstLine="56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、要求具备完备的日志功能。</w:t>
            </w:r>
          </w:p>
          <w:p>
            <w:pPr>
              <w:pStyle w:val="null3"/>
              <w:spacing w:before="240" w:after="240"/>
              <w:jc w:val="left"/>
              <w:outlineLvl w:val="1"/>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、需提供满足运维系统稳定运行的基本资源。</w:t>
            </w:r>
          </w:p>
          <w:p>
            <w:pPr>
              <w:pStyle w:val="null3"/>
              <w:spacing w:before="240" w:after="240"/>
              <w:jc w:val="left"/>
              <w:outlineLvl w:val="1"/>
            </w:pPr>
            <w:r>
              <w:rPr>
                <w:rFonts w:ascii="仿宋_GB2312" w:hAnsi="仿宋_GB2312" w:cs="仿宋_GB2312" w:eastAsia="仿宋_GB2312"/>
                <w:sz w:val="24"/>
                <w:b/>
                <w:color w:val="000000"/>
              </w:rPr>
              <w:t>五、项目实施要求</w:t>
            </w:r>
          </w:p>
          <w:p>
            <w:pPr>
              <w:pStyle w:val="null3"/>
              <w:spacing w:before="105" w:after="105"/>
              <w:ind w:firstLine="560"/>
              <w:jc w:val="both"/>
            </w:pPr>
            <w:r>
              <w:rPr>
                <w:rFonts w:ascii="仿宋_GB2312" w:hAnsi="仿宋_GB2312" w:cs="仿宋_GB2312" w:eastAsia="仿宋_GB2312"/>
                <w:sz w:val="24"/>
                <w:color w:val="000000"/>
              </w:rPr>
              <w:t>（一）工期要求</w:t>
            </w:r>
          </w:p>
          <w:p>
            <w:pPr>
              <w:pStyle w:val="null3"/>
              <w:spacing w:before="105" w:after="105"/>
              <w:ind w:firstLine="560"/>
              <w:jc w:val="both"/>
            </w:pPr>
            <w:r>
              <w:rPr>
                <w:rFonts w:ascii="仿宋_GB2312" w:hAnsi="仿宋_GB2312" w:cs="仿宋_GB2312" w:eastAsia="仿宋_GB2312"/>
                <w:sz w:val="24"/>
                <w:color w:val="000000"/>
              </w:rPr>
              <w:t>要求中标单位在合同签订后</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个月内完成软件开发内容。</w:t>
            </w:r>
          </w:p>
          <w:p>
            <w:pPr>
              <w:pStyle w:val="null3"/>
              <w:spacing w:before="105" w:after="105"/>
              <w:ind w:firstLine="560"/>
              <w:jc w:val="both"/>
            </w:pPr>
            <w:r>
              <w:rPr>
                <w:rFonts w:ascii="仿宋_GB2312" w:hAnsi="仿宋_GB2312" w:cs="仿宋_GB2312" w:eastAsia="仿宋_GB2312"/>
                <w:sz w:val="24"/>
                <w:color w:val="000000"/>
              </w:rPr>
              <w:t>（二）项目实施保障</w:t>
            </w:r>
          </w:p>
          <w:p>
            <w:pPr>
              <w:pStyle w:val="null3"/>
              <w:spacing w:before="105" w:after="105"/>
              <w:ind w:firstLine="560"/>
              <w:jc w:val="both"/>
            </w:pPr>
            <w:r>
              <w:rPr>
                <w:rFonts w:ascii="仿宋_GB2312" w:hAnsi="仿宋_GB2312" w:cs="仿宋_GB2312" w:eastAsia="仿宋_GB2312"/>
                <w:sz w:val="24"/>
                <w:color w:val="000000"/>
              </w:rPr>
              <w:t>中标单位需为项目实施提供专业化、规范化、高品质的服务，针对项目团队组织、项目进度管理、实施过程、项目管理、质量保障等方面提出一套完整的实施方案。</w:t>
            </w:r>
          </w:p>
          <w:p>
            <w:pPr>
              <w:pStyle w:val="null3"/>
              <w:spacing w:before="105" w:after="105"/>
              <w:ind w:firstLine="720"/>
              <w:jc w:val="both"/>
            </w:pPr>
            <w:r>
              <w:rPr>
                <w:rFonts w:ascii="仿宋_GB2312" w:hAnsi="仿宋_GB2312" w:cs="仿宋_GB2312" w:eastAsia="仿宋_GB2312"/>
                <w:sz w:val="24"/>
                <w:color w:val="000000"/>
              </w:rPr>
              <w:t>（三）项目验收要求</w:t>
            </w:r>
          </w:p>
          <w:p>
            <w:pPr>
              <w:pStyle w:val="null3"/>
              <w:spacing w:before="105" w:after="105"/>
              <w:ind w:firstLine="56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、在提交全部相关文档、代码等交付物的前提下，中标单位可以向采购方提出系统验收申请，进行验收，验收应由采购方邀请有关专家组织现场验收。</w:t>
            </w:r>
          </w:p>
          <w:p>
            <w:pPr>
              <w:pStyle w:val="null3"/>
              <w:spacing w:before="105" w:after="105"/>
              <w:ind w:firstLine="56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、项目成果提交包括以下：</w:t>
            </w:r>
          </w:p>
          <w:p>
            <w:pPr>
              <w:pStyle w:val="null3"/>
              <w:spacing w:before="105" w:after="105"/>
              <w:ind w:firstLine="56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）系统安装文件、源代码及详细说明文档；</w:t>
            </w:r>
          </w:p>
          <w:p>
            <w:pPr>
              <w:pStyle w:val="null3"/>
              <w:spacing w:before="105" w:after="105"/>
              <w:ind w:firstLine="56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）项目实施过程中产生的各类文档，包括各类规范及标准化成果文档；</w:t>
            </w:r>
          </w:p>
          <w:p>
            <w:pPr>
              <w:pStyle w:val="null3"/>
              <w:spacing w:before="105" w:after="105"/>
              <w:ind w:firstLine="56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）系统开发及项目实施等相关文档，包括但不限于项目实施计划、运维总结、用户手册（含详细的部署方案）。</w:t>
            </w:r>
          </w:p>
          <w:p>
            <w:pPr>
              <w:pStyle w:val="null3"/>
              <w:spacing w:before="105" w:after="105"/>
              <w:ind w:firstLine="560"/>
              <w:jc w:val="both"/>
            </w:pPr>
            <w:r>
              <w:rPr>
                <w:rFonts w:ascii="仿宋_GB2312" w:hAnsi="仿宋_GB2312" w:cs="仿宋_GB2312" w:eastAsia="仿宋_GB2312"/>
                <w:sz w:val="24"/>
                <w:color w:val="000000"/>
              </w:rPr>
              <w:t>（四）保密工作要求</w:t>
            </w:r>
          </w:p>
          <w:p>
            <w:pPr>
              <w:pStyle w:val="null3"/>
              <w:spacing w:before="105" w:after="105"/>
              <w:ind w:firstLine="560"/>
              <w:jc w:val="both"/>
            </w:pPr>
            <w:r>
              <w:rPr>
                <w:rFonts w:ascii="仿宋_GB2312" w:hAnsi="仿宋_GB2312" w:cs="仿宋_GB2312" w:eastAsia="仿宋_GB2312"/>
                <w:sz w:val="24"/>
                <w:color w:val="000000"/>
              </w:rPr>
              <w:t>中标单位应为本项目所配备的人员须与采购方签订由采购方制定的保密协议，并遵照执行。</w:t>
            </w:r>
          </w:p>
          <w:p>
            <w:pPr>
              <w:pStyle w:val="null3"/>
              <w:spacing w:before="240" w:after="240"/>
              <w:jc w:val="left"/>
              <w:outlineLvl w:val="1"/>
            </w:pPr>
            <w:r>
              <w:rPr>
                <w:rFonts w:ascii="仿宋_GB2312" w:hAnsi="仿宋_GB2312" w:cs="仿宋_GB2312" w:eastAsia="仿宋_GB2312"/>
                <w:sz w:val="24"/>
                <w:b/>
                <w:color w:val="000000"/>
              </w:rPr>
              <w:t>六、服务及培训要求</w:t>
            </w:r>
          </w:p>
          <w:p>
            <w:pPr>
              <w:pStyle w:val="null3"/>
              <w:spacing w:before="105" w:after="105"/>
              <w:ind w:firstLine="560"/>
              <w:jc w:val="both"/>
            </w:pPr>
            <w:r>
              <w:rPr>
                <w:rFonts w:ascii="仿宋_GB2312" w:hAnsi="仿宋_GB2312" w:cs="仿宋_GB2312" w:eastAsia="仿宋_GB2312"/>
                <w:sz w:val="24"/>
                <w:color w:val="000000"/>
              </w:rPr>
              <w:t>（一）服务要求</w:t>
            </w:r>
          </w:p>
          <w:p>
            <w:pPr>
              <w:pStyle w:val="null3"/>
              <w:spacing w:before="105" w:after="105"/>
              <w:ind w:firstLine="56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、服务期限：在运维服务期内，对于影响平台正常运行的故障修复时间不超过</w:t>
            </w:r>
            <w:r>
              <w:rPr>
                <w:rFonts w:ascii="仿宋_GB2312" w:hAnsi="仿宋_GB2312" w:cs="仿宋_GB2312" w:eastAsia="仿宋_GB2312"/>
                <w:sz w:val="24"/>
                <w:color w:val="000000"/>
              </w:rPr>
              <w:t>12</w:t>
            </w:r>
            <w:r>
              <w:rPr>
                <w:rFonts w:ascii="仿宋_GB2312" w:hAnsi="仿宋_GB2312" w:cs="仿宋_GB2312" w:eastAsia="仿宋_GB2312"/>
                <w:sz w:val="24"/>
                <w:color w:val="000000"/>
              </w:rPr>
              <w:t>小时，重大问题应立即启动应急预案，保障平台正常使用，并尽快修复问题。</w:t>
            </w:r>
          </w:p>
          <w:p>
            <w:pPr>
              <w:pStyle w:val="null3"/>
              <w:spacing w:before="105" w:after="105"/>
              <w:ind w:firstLine="56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、服务人员：安排参与本项目实施、并对本项目熟悉的人员负责本项目的运维服务。</w:t>
            </w:r>
          </w:p>
          <w:p>
            <w:pPr>
              <w:pStyle w:val="null3"/>
              <w:spacing w:before="105" w:after="105"/>
              <w:ind w:firstLine="560"/>
              <w:jc w:val="both"/>
            </w:pPr>
            <w:r>
              <w:rPr>
                <w:rFonts w:ascii="仿宋_GB2312" w:hAnsi="仿宋_GB2312" w:cs="仿宋_GB2312" w:eastAsia="仿宋_GB2312"/>
                <w:sz w:val="24"/>
                <w:color w:val="000000"/>
              </w:rPr>
              <w:t>（二）培训要求</w:t>
            </w:r>
          </w:p>
          <w:p>
            <w:pPr>
              <w:pStyle w:val="null3"/>
              <w:spacing w:before="105" w:after="105"/>
              <w:jc w:val="left"/>
            </w:pPr>
            <w:r>
              <w:rPr>
                <w:rFonts w:ascii="仿宋_GB2312" w:hAnsi="仿宋_GB2312" w:cs="仿宋_GB2312" w:eastAsia="仿宋_GB2312"/>
                <w:sz w:val="24"/>
                <w:color w:val="000000"/>
              </w:rPr>
              <w:t xml:space="preserve">    投标人需提供培训方案，培训方案中至少包含培训对象、培训方式、培训内容、培训计划等内容，要求面向系统开发和管理员、各级领导、系统操作人员等不同群体提供系统化、定制化和有针对性的培训。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配备满足项目需求的人员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配备满足项目需求的设施设备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5个月，供应商需完成所有招标文件要求工作，并通过项目验收。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1、经过试运行期后，且无重大事故发生，在提交全部相关文档、代码等交付物的前提下， 中标单位可以向采购方提出系统验收申请，进行终验，终验应由采购方邀请有关专家组织现场验收。 2、项目成果提交包括以 下： （1）系统安装文件、源代码及详细说明文档； （2）项目实施过程中产生的各类文档，包括各类规范及标准化成果文 档； （3）系统开发及项目实施等相关文档，包括但不限于项目实施计划、项目需求说明书、设计说明书、测试报告、操作手 册、部署手册。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合同签订后，乙方向甲方出具等额的符合国家规定的发票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完成项目建设内容并验收通过后，乙方向甲方出具等额的符合国家规定的发票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2）成交人未按合同要求 提供货物与服务或货物与服务质量不能满足采购要求，且在规定时间内未达到合同规定标准的，采购人有权终止合同，同时报 请监管部门对其违约行为进行追究。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1.提供合格有效的法人或其他组织的营业执照等证明文件， 自然人参与的提供其身份证原件。 2.提供2024年3月（含）至今已连续缴纳的至少一个月的纳税证明或完税证明； 依法免税的单位应提供相关证明材料；提供2024年3月(含）至今已连续缴存的至少一个月的社会保障资金缴存单据或社保机构开具的社会保险参保缴费情况证明，单据或证明上应有社保机构或代收机构的公章；依法不需要缴纳社会保障资金的供应商应提供相关文件证明。 3.参加本次政府采购活动前3年内在经营活动中没有重大违法记录，以及未被列入严重失信主体、重大税收违法失信主体、政府采购严重违法失信行为记录名单的书面声明。 4.磋商单位具有履行合同所需的设备和专业技术能力。（提供承诺函） 5.磋商单位具备法律、行政法规规定的其他条件。（提供承诺函）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提供经会计师事务所审计的2023年或2024年财务审计报告，或在开标日期前六个月内其基本开户银行出具的资信证明（附开户许可证或基本存款账户信息）。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投标文件（格式）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 网站（www.creditchina.gov.cn）严重失信主体和重大 税收违法失信主体的供应商，不得为中国政府采购网（www.ccgp.gov.cn）政府 采购严重违法失信行为记录名单中被财政部门禁止参加政府采购活动的的供应商。</w:t>
            </w:r>
          </w:p>
        </w:tc>
        <w:tc>
          <w:tcPr>
            <w:tcW w:type="dxa" w:w="1661"/>
          </w:tcPr>
          <w:p>
            <w:pPr>
              <w:pStyle w:val="null3"/>
            </w:pPr>
            <w:r>
              <w:rPr>
                <w:rFonts w:ascii="仿宋_GB2312" w:hAnsi="仿宋_GB2312" w:cs="仿宋_GB2312" w:eastAsia="仿宋_GB2312"/>
              </w:rPr>
              <w:t>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投标文件（格式）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投标文件（格式）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满足本磋商文件中的实质性条款（服务期限、服务地点、支付方式、支付约定）要求的</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投标文件（格式）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 投标文件（格式）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报价未超过磋商文件中规定的预算金额的</w:t>
            </w:r>
          </w:p>
        </w:tc>
        <w:tc>
          <w:tcPr>
            <w:tcW w:type="dxa" w:w="1661"/>
          </w:tcPr>
          <w:p>
            <w:pPr>
              <w:pStyle w:val="null3"/>
            </w:pPr>
            <w:r>
              <w:rPr>
                <w:rFonts w:ascii="仿宋_GB2312" w:hAnsi="仿宋_GB2312" w:cs="仿宋_GB2312" w:eastAsia="仿宋_GB2312"/>
              </w:rPr>
              <w:t>标的清单 报价表 投标文件（格式）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投标文件（格式）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投标文件（格式）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项目重难点分析及解决策略</w:t>
            </w:r>
          </w:p>
        </w:tc>
        <w:tc>
          <w:tcPr>
            <w:tcW w:type="dxa" w:w="2492"/>
          </w:tcPr>
          <w:p>
            <w:pPr>
              <w:pStyle w:val="null3"/>
            </w:pPr>
            <w:r>
              <w:rPr>
                <w:rFonts w:ascii="仿宋_GB2312" w:hAnsi="仿宋_GB2312" w:cs="仿宋_GB2312" w:eastAsia="仿宋_GB2312"/>
              </w:rPr>
              <w:t>供应商围绕本项目特点提出项目建设的重点、难点，明确项目建设的总体要求，工作原则和解决策略。 A.描述全面完整，重点及难点把握准确，分析到位，解决措施科学完善、切实可行，得10分； B.描述较为全面，重点及难点把握较为准确，分析基本合理，解决措施合理可行，得8分； C.描述基本全面，重点及难点把握基本准确，分析简单，解决措施基本合理可行，得6分； D.描述简单，重点及难点把握有偏差，分析欠缺，得4分； E. 内容简单笼统，缺少可行性，得2分； F.其他或未提供不得分。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服务方案完整度</w:t>
            </w:r>
          </w:p>
        </w:tc>
        <w:tc>
          <w:tcPr>
            <w:tcW w:type="dxa" w:w="2492"/>
          </w:tcPr>
          <w:p>
            <w:pPr>
              <w:pStyle w:val="null3"/>
            </w:pPr>
            <w:r>
              <w:rPr>
                <w:rFonts w:ascii="仿宋_GB2312" w:hAnsi="仿宋_GB2312" w:cs="仿宋_GB2312" w:eastAsia="仿宋_GB2312"/>
              </w:rPr>
              <w:t>对服务方案完整性进行打分。服务方案主体内容应包括项目需求分析、数据融合治理、数据库设计、功能设计、运维计划、人员配置、系统测试、项目实施、数据安全、项目验收等。上述主体内容全部提供完整且满足采购文件要求，每提供1个内容得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服务方案总体评价</w:t>
            </w:r>
          </w:p>
        </w:tc>
        <w:tc>
          <w:tcPr>
            <w:tcW w:type="dxa" w:w="2492"/>
          </w:tcPr>
          <w:p>
            <w:pPr>
              <w:pStyle w:val="null3"/>
            </w:pPr>
            <w:r>
              <w:rPr>
                <w:rFonts w:ascii="仿宋_GB2312" w:hAnsi="仿宋_GB2312" w:cs="仿宋_GB2312" w:eastAsia="仿宋_GB2312"/>
              </w:rPr>
              <w:t>要求对采购人运维服务需求的理解，各供应商有具体、完整的技术方案及主要技术措施 A.技术方案及主要技术措施完善、明确；技术方案内容全面，可行性和针对性强，得10分； B.技术方案及主要技术措施较为明确；技术方案基本满足要求，可行性和针对性较强，得8分； C.技术方案及主要技术措施基本清晰；技术方案常规，有一定的可行性和针对性，得6分； D.技术方案及主要技术措施内容欠缺；技术方案简单笼统，缺乏针对性，得4分； E.技术方案及主要技术措施内容合理性较差，技术方案可行性较低，得2分； F.其他或未提供不得分。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修复性服务和定期预防性管理维护方案</w:t>
            </w:r>
          </w:p>
        </w:tc>
        <w:tc>
          <w:tcPr>
            <w:tcW w:type="dxa" w:w="2492"/>
          </w:tcPr>
          <w:p>
            <w:pPr>
              <w:pStyle w:val="null3"/>
            </w:pPr>
            <w:r>
              <w:rPr>
                <w:rFonts w:ascii="仿宋_GB2312" w:hAnsi="仿宋_GB2312" w:cs="仿宋_GB2312" w:eastAsia="仿宋_GB2312"/>
              </w:rPr>
              <w:t>要求对本运行维护项目制定规范化的修复性服务和定期预防性管理维护方案。 A.修复性服务和定期预防性管理维护方案完善、明确；技术方案内容全面，可行性和针对性强，得10分； B.修复性服务和定期预防性管理维护方案较为明确；技术方案基本满足要求，可行性和针对性较强，得8分； C.修复性服务和定期预防性管理维护方案基本清晰；技术方案常规，有一定的可行性和针对性，得6分； D.修复性服务和定期预防性管理维护方案内容欠缺；技术方案简单笼统，缺乏针对性，得4分； E.修复性服务和定期预防性管理维护方案内容缺失、技术方案可行性较低，得2分； F.其他或未提供不得分。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对故障诊断、故障恢复、维护管理、安全管理（包括但不限于系统安全、信息安全、管理安全、数据安全等）等，有详细、可行的保障服务措施及方案。 A.方案详尽，合理可行，逻辑清楚，针对性及可行性强，得10分； B.方案较完善，有一定的逻辑性、针对性、可行性，得8分； C.方案内容基本合理，基本可行得6分； D.方案内容简单笼统，方案针对性一般得4分； E.方案内容缺失、方案针对性较差得2分； F.其他或未提供不得分。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提供具有针对性的进度保障方案，包含但不限于工作时间进度计划、工作程序和步骤等。 A.方案详细完整、合理可行，进度调配得当，控制措施紧密有效，针对性强，得4分； B.方案内容齐全、基本可行，控制措施有一定针对性，得3分； C.方案内容简单笼统，控制措施针对性一般，得2分； D.方案内容缺失、方案针对性较差得1分； E.其他或未提供不得分。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针对可能出现的问题及突发事件，有具体可行的应急措施和解决方案，内容包括但不限于运维响应时间、定期巡查、应急解决方案、服务监督管理机制、服务承诺等。 A.内容详细完整、合理可行，进度调配得当，控制措施紧密有效，针对性强，得4分； B.内容齐全、基本可行，控制措施有一定针对性，得3分； C.内容简单笼统，控制措施针对性一般，得2分； D.方案内容缺失、方案针对性较差得1分； E.其他或未提供不得分。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供应商具有完善的售后服务体系，并有详细的售后服务措施及承诺，能够保证 7*24h 不间断运行（包括本地化服务能力、故障响应时间、售后服务体系、售后服务期限和售后服务人员等内容）。 A.内容完善，内容详细、科学合理、针对性强，得4分； B.内容齐全、基本可行，服务承诺基本合理，有一定针对性，得3分； C.内容简单笼统，针对性欠缺，得2分； D.内容缺失、针对性较差得1分； E.其他或未提供不得分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供应商根据采购需求，提供项目培训方案，包括但不限于培训组织架构、培训内容、培训方式、培训流程及日程安排。 A.培训方案完善合理，针对性强，确保相关人员能够熟练掌握产品操作、排除一般故障，得5分； B.培训方案较为全面、内容准确合理，得4分； C.培训方案基本合理，完善程度一般、控制措施针对性一般，得3分； D.培训方案描述简单，内容有偏差，可行性差，得2分； E.培训方案简单笼统，针对性欠缺，得1分； F.其他或未提供不得分。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1、供应商同时提供质量管理体系认证、环境管理体系认证、职业健康安全体系认证证书的得2分。 2、供应商同时提供信息技术服务管理体系认证、信息安全管理体系认证证书的得2分。 3、供应商提供ITSS信息技术服务标准符合性证书的得1分。 4、供应商提供信息系统建设和服务能力认证（CS）的得1分。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1、拟派项目负责人正高级工程师职称的得2分，同时具备信息系统项目管理师证书的得2分最高得4分，没有的不得分。 2、拟派项目组成员（项目负责人除外）具有高级工程师及以上职称的每有2个得0.5分，最多得2分。 3、拟派项目组成员（项目负责人除外）具有软件设计师证书的得1分；具有系统集成项目管理工程师证书的得1分；具有注册测绘师证书的得1分；本项最高得3分。 注：以身份证、毕业证、职称证或注册证、社保机构出具的2024年至今任意1个月社保证明等文件为准，未按要求提供不得分。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供应商提供2022年1月1日至今同类项目（系统开发、运维、数据类等相关业绩）业绩（以合同签订日期为准），每提供1个得2分，最高得8分。 提供合同复印件，不提供不得分。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投标文件（格式）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详见附件：16-合同文本.docx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