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4E8023">
      <w:pPr>
        <w:pStyle w:val="3"/>
        <w:numPr>
          <w:ilvl w:val="0"/>
          <w:numId w:val="0"/>
        </w:numPr>
        <w:bidi w:val="0"/>
        <w:jc w:val="center"/>
        <w:rPr>
          <w:rFonts w:hint="eastAsia"/>
          <w:color w:val="auto"/>
          <w:lang w:val="en-US" w:eastAsia="zh-CN"/>
        </w:rPr>
      </w:pPr>
      <w:bookmarkStart w:id="0" w:name="_Toc10911"/>
      <w:bookmarkStart w:id="1" w:name="_Toc13367"/>
      <w:r>
        <w:rPr>
          <w:rFonts w:hint="eastAsia"/>
          <w:color w:val="auto"/>
          <w:lang w:val="en-US" w:eastAsia="zh-CN"/>
        </w:rPr>
        <w:t>拟签订的合同文本</w:t>
      </w:r>
      <w:bookmarkEnd w:id="0"/>
      <w:bookmarkEnd w:id="1"/>
    </w:p>
    <w:p w14:paraId="6D37B4D4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根据《中华人民共和国民法典》、《中华人民共和国政府采购法》及其他有关法律、法规，遵循平等、自愿、公平和诚信的原则，双方就下述项目范围与相关服务事项协商一致，订立本合同。</w:t>
      </w:r>
    </w:p>
    <w:p w14:paraId="6777D822">
      <w:pPr>
        <w:numPr>
          <w:ilvl w:val="0"/>
          <w:numId w:val="0"/>
        </w:numPr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24"/>
          <w:szCs w:val="24"/>
          <w:lang w:val="en-US" w:eastAsia="zh-CN" w:bidi="ar-SA"/>
        </w:rPr>
        <w:t>一、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项目概况</w:t>
      </w:r>
    </w:p>
    <w:p w14:paraId="17EB81EC">
      <w:pPr>
        <w:numPr>
          <w:ilvl w:val="0"/>
          <w:numId w:val="1"/>
        </w:num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项目名称：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自然资源业务支撑体系运行维护服务</w:t>
      </w:r>
      <w:r>
        <w:rPr>
          <w:rFonts w:hint="eastAsia" w:cs="仿宋"/>
          <w:color w:val="auto"/>
          <w:sz w:val="24"/>
          <w:szCs w:val="24"/>
          <w:highlight w:val="none"/>
          <w:u w:val="none"/>
          <w:lang w:val="en-US" w:eastAsia="zh-CN"/>
        </w:rPr>
        <w:t>；</w:t>
      </w:r>
    </w:p>
    <w:p w14:paraId="0B5EA021">
      <w:pPr>
        <w:numPr>
          <w:ilvl w:val="0"/>
          <w:numId w:val="1"/>
        </w:num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项目地点：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采购人指定地点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；</w:t>
      </w:r>
    </w:p>
    <w:p w14:paraId="0C41CE6B">
      <w:pPr>
        <w:numPr>
          <w:ilvl w:val="0"/>
          <w:numId w:val="1"/>
        </w:num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cs="仿宋"/>
          <w:color w:val="auto"/>
          <w:sz w:val="24"/>
          <w:szCs w:val="24"/>
          <w:highlight w:val="none"/>
          <w:lang w:val="en-US" w:eastAsia="zh-CN"/>
        </w:rPr>
        <w:t>服务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5个月，供应商需完成所有招标文件</w:t>
      </w:r>
      <w:bookmarkStart w:id="2" w:name="_GoBack"/>
      <w:bookmarkEnd w:id="2"/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要求工作，并通过项目验收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</w:rPr>
        <w:t>。</w:t>
      </w:r>
    </w:p>
    <w:p w14:paraId="2C0A1648">
      <w:pPr>
        <w:numPr>
          <w:ilvl w:val="0"/>
          <w:numId w:val="0"/>
        </w:numPr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24"/>
          <w:szCs w:val="24"/>
          <w:lang w:val="en-US" w:eastAsia="zh-CN" w:bidi="ar-SA"/>
        </w:rPr>
        <w:t>二、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组成本合同的文件</w:t>
      </w:r>
    </w:p>
    <w:p w14:paraId="1D114A49">
      <w:pPr>
        <w:numPr>
          <w:ilvl w:val="0"/>
          <w:numId w:val="2"/>
        </w:num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协议书；</w:t>
      </w:r>
    </w:p>
    <w:p w14:paraId="4CF1F588">
      <w:pPr>
        <w:numPr>
          <w:ilvl w:val="0"/>
          <w:numId w:val="2"/>
        </w:num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成交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通知书、响应文件、</w:t>
      </w:r>
      <w:r>
        <w:rPr>
          <w:rFonts w:hint="eastAsia" w:cs="仿宋"/>
          <w:color w:val="auto"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文件、澄清、补充文件；</w:t>
      </w:r>
    </w:p>
    <w:p w14:paraId="5CD3A908">
      <w:pPr>
        <w:numPr>
          <w:ilvl w:val="0"/>
          <w:numId w:val="2"/>
        </w:num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相关服务建议书；</w:t>
      </w:r>
    </w:p>
    <w:p w14:paraId="3E05E9F3">
      <w:pPr>
        <w:numPr>
          <w:ilvl w:val="0"/>
          <w:numId w:val="2"/>
        </w:num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附录，即：附表内相关服务的范围和内容；本合同签订后，双方依法签订的补充协议也是本合同文件的组成部分。</w:t>
      </w:r>
    </w:p>
    <w:p w14:paraId="7165D2DF">
      <w:pPr>
        <w:numPr>
          <w:ilvl w:val="0"/>
          <w:numId w:val="0"/>
        </w:numPr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24"/>
          <w:szCs w:val="24"/>
          <w:lang w:val="en-US" w:eastAsia="zh-CN" w:bidi="ar-SA"/>
        </w:rPr>
        <w:t>三、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合同金额</w:t>
      </w:r>
    </w:p>
    <w:p w14:paraId="14BD9405">
      <w:pPr>
        <w:numPr>
          <w:ilvl w:val="0"/>
          <w:numId w:val="3"/>
        </w:num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合同类型：总价合同。合同总价一次包死，不受市场价变化或实际工作量变化的影响。</w:t>
      </w:r>
    </w:p>
    <w:p w14:paraId="10993D49">
      <w:pPr>
        <w:numPr>
          <w:ilvl w:val="0"/>
          <w:numId w:val="3"/>
        </w:num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合同金额（大写）：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（¥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）。</w:t>
      </w:r>
    </w:p>
    <w:p w14:paraId="0E44B262">
      <w:pPr>
        <w:numPr>
          <w:ilvl w:val="0"/>
          <w:numId w:val="0"/>
        </w:numPr>
        <w:spacing w:line="360" w:lineRule="auto"/>
        <w:ind w:firstLine="420" w:firstLineChars="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具体分项价格如下：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9"/>
        <w:gridCol w:w="3377"/>
        <w:gridCol w:w="1433"/>
        <w:gridCol w:w="1533"/>
        <w:gridCol w:w="1480"/>
      </w:tblGrid>
      <w:tr w14:paraId="278973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9" w:type="dxa"/>
            <w:noWrap w:val="0"/>
            <w:vAlign w:val="center"/>
          </w:tcPr>
          <w:p w14:paraId="350E8B61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序号</w:t>
            </w:r>
          </w:p>
        </w:tc>
        <w:tc>
          <w:tcPr>
            <w:tcW w:w="3377" w:type="dxa"/>
            <w:noWrap w:val="0"/>
            <w:vAlign w:val="center"/>
          </w:tcPr>
          <w:p w14:paraId="083D022A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采购内容</w:t>
            </w:r>
          </w:p>
        </w:tc>
        <w:tc>
          <w:tcPr>
            <w:tcW w:w="1433" w:type="dxa"/>
            <w:noWrap w:val="0"/>
            <w:vAlign w:val="center"/>
          </w:tcPr>
          <w:p w14:paraId="6A2F046B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数量、单位</w:t>
            </w:r>
          </w:p>
        </w:tc>
        <w:tc>
          <w:tcPr>
            <w:tcW w:w="1533" w:type="dxa"/>
            <w:noWrap w:val="0"/>
            <w:vAlign w:val="center"/>
          </w:tcPr>
          <w:p w14:paraId="462EF5A7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单价</w:t>
            </w:r>
          </w:p>
        </w:tc>
        <w:tc>
          <w:tcPr>
            <w:tcW w:w="1480" w:type="dxa"/>
            <w:noWrap w:val="0"/>
            <w:vAlign w:val="center"/>
          </w:tcPr>
          <w:p w14:paraId="174EA1B0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总价</w:t>
            </w:r>
          </w:p>
        </w:tc>
      </w:tr>
      <w:tr w14:paraId="07E2E0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9" w:type="dxa"/>
            <w:noWrap w:val="0"/>
            <w:vAlign w:val="center"/>
          </w:tcPr>
          <w:p w14:paraId="341E8973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3377" w:type="dxa"/>
            <w:noWrap w:val="0"/>
            <w:vAlign w:val="center"/>
          </w:tcPr>
          <w:p w14:paraId="3D1E89E5"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33" w:type="dxa"/>
            <w:noWrap w:val="0"/>
            <w:vAlign w:val="center"/>
          </w:tcPr>
          <w:p w14:paraId="54BADFF6"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533" w:type="dxa"/>
            <w:noWrap w:val="0"/>
            <w:vAlign w:val="center"/>
          </w:tcPr>
          <w:p w14:paraId="113D9D8D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80" w:type="dxa"/>
            <w:noWrap w:val="0"/>
            <w:vAlign w:val="center"/>
          </w:tcPr>
          <w:p w14:paraId="6E8D1FF4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7D3E65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99" w:type="dxa"/>
            <w:noWrap w:val="0"/>
            <w:vAlign w:val="center"/>
          </w:tcPr>
          <w:p w14:paraId="0A8AE943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3377" w:type="dxa"/>
            <w:noWrap w:val="0"/>
            <w:vAlign w:val="center"/>
          </w:tcPr>
          <w:p w14:paraId="0E269AB8"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33" w:type="dxa"/>
            <w:noWrap w:val="0"/>
            <w:vAlign w:val="center"/>
          </w:tcPr>
          <w:p w14:paraId="721A31F5"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533" w:type="dxa"/>
            <w:noWrap w:val="0"/>
            <w:vAlign w:val="center"/>
          </w:tcPr>
          <w:p w14:paraId="25E3A953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80" w:type="dxa"/>
            <w:noWrap w:val="0"/>
            <w:vAlign w:val="center"/>
          </w:tcPr>
          <w:p w14:paraId="50853E47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771F13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9" w:type="dxa"/>
            <w:noWrap w:val="0"/>
            <w:vAlign w:val="center"/>
          </w:tcPr>
          <w:p w14:paraId="4665FCDB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3377" w:type="dxa"/>
            <w:noWrap w:val="0"/>
            <w:vAlign w:val="center"/>
          </w:tcPr>
          <w:p w14:paraId="693926F3"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33" w:type="dxa"/>
            <w:noWrap w:val="0"/>
            <w:vAlign w:val="center"/>
          </w:tcPr>
          <w:p w14:paraId="71CFC4D5"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533" w:type="dxa"/>
            <w:noWrap w:val="0"/>
            <w:vAlign w:val="center"/>
          </w:tcPr>
          <w:p w14:paraId="4B525F6F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80" w:type="dxa"/>
            <w:noWrap w:val="0"/>
            <w:vAlign w:val="center"/>
          </w:tcPr>
          <w:p w14:paraId="731BD139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10FD49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9" w:type="dxa"/>
            <w:noWrap w:val="0"/>
            <w:vAlign w:val="center"/>
          </w:tcPr>
          <w:p w14:paraId="655C6E10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3377" w:type="dxa"/>
            <w:noWrap w:val="0"/>
            <w:vAlign w:val="center"/>
          </w:tcPr>
          <w:p w14:paraId="033715E8"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3" w:type="dxa"/>
            <w:noWrap w:val="0"/>
            <w:vAlign w:val="center"/>
          </w:tcPr>
          <w:p w14:paraId="735FB5F8"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533" w:type="dxa"/>
            <w:noWrap w:val="0"/>
            <w:vAlign w:val="center"/>
          </w:tcPr>
          <w:p w14:paraId="76D750A0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80" w:type="dxa"/>
            <w:noWrap w:val="0"/>
            <w:vAlign w:val="center"/>
          </w:tcPr>
          <w:p w14:paraId="134A755A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5E78F4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9" w:type="dxa"/>
            <w:noWrap w:val="0"/>
            <w:vAlign w:val="center"/>
          </w:tcPr>
          <w:p w14:paraId="119E13B2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3377" w:type="dxa"/>
            <w:noWrap w:val="0"/>
            <w:vAlign w:val="center"/>
          </w:tcPr>
          <w:p w14:paraId="291A23F4"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3" w:type="dxa"/>
            <w:noWrap w:val="0"/>
            <w:vAlign w:val="center"/>
          </w:tcPr>
          <w:p w14:paraId="15973704"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533" w:type="dxa"/>
            <w:noWrap w:val="0"/>
            <w:vAlign w:val="center"/>
          </w:tcPr>
          <w:p w14:paraId="2CDDF003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80" w:type="dxa"/>
            <w:noWrap w:val="0"/>
            <w:vAlign w:val="center"/>
          </w:tcPr>
          <w:p w14:paraId="50A8C2D7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1E7137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9" w:type="dxa"/>
            <w:noWrap w:val="0"/>
            <w:vAlign w:val="center"/>
          </w:tcPr>
          <w:p w14:paraId="4AAB7AA7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3377" w:type="dxa"/>
            <w:noWrap w:val="0"/>
            <w:vAlign w:val="center"/>
          </w:tcPr>
          <w:p w14:paraId="28F7329D"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3" w:type="dxa"/>
            <w:noWrap w:val="0"/>
            <w:vAlign w:val="center"/>
          </w:tcPr>
          <w:p w14:paraId="4F6B7A94"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533" w:type="dxa"/>
            <w:noWrap w:val="0"/>
            <w:vAlign w:val="center"/>
          </w:tcPr>
          <w:p w14:paraId="5F4A2C01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80" w:type="dxa"/>
            <w:noWrap w:val="0"/>
            <w:vAlign w:val="center"/>
          </w:tcPr>
          <w:p w14:paraId="556F59F1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</w:tr>
    </w:tbl>
    <w:p w14:paraId="1700B78A">
      <w:pPr>
        <w:numPr>
          <w:ilvl w:val="0"/>
          <w:numId w:val="3"/>
        </w:num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合同总价即成交价，指完成本项目要求的全部服务（含为完成服务提供的货物）内容最终价格，包括但不限于人工费、服务费、税费、验收费等相关一切费用。</w:t>
      </w:r>
    </w:p>
    <w:p w14:paraId="23DCCD94">
      <w:pPr>
        <w:numPr>
          <w:ilvl w:val="0"/>
          <w:numId w:val="0"/>
        </w:numPr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24"/>
          <w:szCs w:val="24"/>
          <w:lang w:val="en-US" w:eastAsia="zh-CN" w:bidi="ar-SA"/>
        </w:rPr>
        <w:t>四、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结算方式</w:t>
      </w:r>
    </w:p>
    <w:p w14:paraId="720D6259">
      <w:pPr>
        <w:keepNext w:val="0"/>
        <w:keepLines w:val="0"/>
        <w:pageBreakBefore w:val="0"/>
        <w:widowControl/>
        <w:kinsoku/>
        <w:wordWrap/>
        <w:bidi w:val="0"/>
        <w:snapToGrid/>
        <w:spacing w:line="360" w:lineRule="auto"/>
        <w:ind w:right="0" w:rightChars="0" w:firstLine="480" w:firstLineChars="200"/>
        <w:jc w:val="left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cs="仿宋"/>
          <w:color w:val="auto"/>
          <w:sz w:val="24"/>
          <w:szCs w:val="24"/>
          <w:highlight w:val="none"/>
          <w:lang w:val="en-US" w:eastAsia="zh-CN"/>
        </w:rPr>
        <w:t>1.合同签订后，甲方向乙方支付合同总金额的70%；完成项目建设内容并验收通过后，甲方向乙方支付合同总金额的30%。乙方在甲方办理以上各期付款的支付手续前，应向甲方出具等额的符合国家规定的发票。</w:t>
      </w:r>
    </w:p>
    <w:p w14:paraId="315B22CA">
      <w:pPr>
        <w:keepNext w:val="0"/>
        <w:keepLines w:val="0"/>
        <w:pageBreakBefore w:val="0"/>
        <w:widowControl/>
        <w:kinsoku/>
        <w:wordWrap/>
        <w:bidi w:val="0"/>
        <w:snapToGrid/>
        <w:spacing w:line="360" w:lineRule="auto"/>
        <w:ind w:right="0" w:rightChars="0" w:firstLine="480" w:firstLineChars="200"/>
        <w:jc w:val="left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2.支付方式：银行转账。</w:t>
      </w:r>
    </w:p>
    <w:p w14:paraId="6E296BBD">
      <w:pPr>
        <w:numPr>
          <w:ilvl w:val="0"/>
          <w:numId w:val="0"/>
        </w:numPr>
        <w:spacing w:line="360" w:lineRule="auto"/>
        <w:ind w:left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3.结算方式：成交人持发票、服务合同，与采购人结算。</w:t>
      </w:r>
    </w:p>
    <w:p w14:paraId="57C2231D">
      <w:pPr>
        <w:numPr>
          <w:ilvl w:val="0"/>
          <w:numId w:val="0"/>
        </w:numPr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24"/>
          <w:szCs w:val="24"/>
          <w:lang w:val="en-US" w:eastAsia="zh-CN" w:bidi="ar-SA"/>
        </w:rPr>
        <w:t>五、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内容及要求：</w:t>
      </w:r>
    </w:p>
    <w:p w14:paraId="0922DD23">
      <w:pPr>
        <w:numPr>
          <w:ilvl w:val="0"/>
          <w:numId w:val="0"/>
        </w:numPr>
        <w:spacing w:line="360" w:lineRule="auto"/>
        <w:ind w:left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根据</w:t>
      </w:r>
      <w:r>
        <w:rPr>
          <w:rFonts w:hint="eastAsia" w:cs="仿宋"/>
          <w:color w:val="auto"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文件采购内容服务要求及供应商响应文件承诺。</w:t>
      </w:r>
    </w:p>
    <w:p w14:paraId="407B2117">
      <w:pPr>
        <w:numPr>
          <w:ilvl w:val="0"/>
          <w:numId w:val="0"/>
        </w:numPr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24"/>
          <w:szCs w:val="24"/>
          <w:lang w:val="en-US" w:eastAsia="zh-CN" w:bidi="ar-SA"/>
        </w:rPr>
        <w:t>六、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质量保证：</w:t>
      </w:r>
    </w:p>
    <w:p w14:paraId="4BBA224F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供应商提供的产品及服务，应全面满足</w:t>
      </w:r>
      <w:r>
        <w:rPr>
          <w:rFonts w:hint="eastAsia" w:cs="仿宋"/>
          <w:color w:val="auto"/>
          <w:sz w:val="24"/>
          <w:szCs w:val="24"/>
          <w:highlight w:val="none"/>
          <w:lang w:eastAsia="zh-CN"/>
        </w:rPr>
        <w:t>招标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文件的要求，</w:t>
      </w:r>
      <w:r>
        <w:rPr>
          <w:rFonts w:hint="eastAsia" w:cs="仿宋"/>
          <w:color w:val="auto"/>
          <w:sz w:val="24"/>
          <w:szCs w:val="24"/>
          <w:highlight w:val="none"/>
          <w:lang w:eastAsia="zh-CN"/>
        </w:rPr>
        <w:t>招标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文件未明确要求的内容，供应商须按采购人的补充要求为准。质量须符合国家质量、行业标准。</w:t>
      </w:r>
    </w:p>
    <w:p w14:paraId="22278D72">
      <w:pPr>
        <w:numPr>
          <w:ilvl w:val="0"/>
          <w:numId w:val="0"/>
        </w:numPr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24"/>
          <w:szCs w:val="24"/>
          <w:lang w:val="en-US" w:eastAsia="zh-CN" w:bidi="ar-SA"/>
        </w:rPr>
        <w:t>七、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验收</w:t>
      </w:r>
    </w:p>
    <w:p w14:paraId="1B1EA6EA">
      <w:pPr>
        <w:spacing w:line="360" w:lineRule="auto"/>
        <w:ind w:firstLine="480" w:firstLineChars="200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u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u w:val="none"/>
          <w:lang w:val="en-US" w:eastAsia="zh-CN"/>
        </w:rPr>
        <w:t>1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u w:val="none"/>
          <w:lang w:eastAsia="zh-CN"/>
        </w:rPr>
        <w:t>、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u w:val="none"/>
        </w:rPr>
        <w:t>初验：完成系统要求的全部内容，采购人组织验收，验收内容：系统运行情况等；</w:t>
      </w:r>
    </w:p>
    <w:p w14:paraId="51200045">
      <w:pPr>
        <w:spacing w:line="360" w:lineRule="auto"/>
        <w:ind w:firstLine="480" w:firstLineChars="200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u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u w:val="none"/>
        </w:rPr>
        <w:t>2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u w:val="none"/>
          <w:lang w:eastAsia="zh-CN"/>
        </w:rPr>
        <w:t>、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u w:val="none"/>
        </w:rPr>
        <w:t xml:space="preserve"> 终验：初验合格后正常运行无质量争议，视为终验合格；</w:t>
      </w:r>
    </w:p>
    <w:p w14:paraId="764B2515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u w:val="none"/>
        </w:rPr>
        <w:t xml:space="preserve">3 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u w:val="none"/>
          <w:lang w:eastAsia="zh-CN"/>
        </w:rPr>
        <w:t>、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u w:val="none"/>
        </w:rPr>
        <w:t>验收依据：合同文本、国家有关的验收标准及规范、</w:t>
      </w:r>
      <w:r>
        <w:rPr>
          <w:rFonts w:hint="eastAsia" w:cs="仿宋"/>
          <w:b w:val="0"/>
          <w:bCs w:val="0"/>
          <w:color w:val="auto"/>
          <w:sz w:val="24"/>
          <w:szCs w:val="24"/>
          <w:highlight w:val="none"/>
          <w:u w:val="none"/>
          <w:lang w:eastAsia="zh-CN"/>
        </w:rPr>
        <w:t>招标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u w:val="none"/>
        </w:rPr>
        <w:t>文件、响应文件。</w:t>
      </w:r>
    </w:p>
    <w:p w14:paraId="44551124">
      <w:pPr>
        <w:numPr>
          <w:ilvl w:val="0"/>
          <w:numId w:val="0"/>
        </w:numPr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24"/>
          <w:szCs w:val="24"/>
          <w:lang w:val="en-US" w:eastAsia="zh-CN" w:bidi="ar-SA"/>
        </w:rPr>
        <w:t>八、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保密</w:t>
      </w:r>
    </w:p>
    <w:p w14:paraId="5F9103C3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对工作中了解到的采购人的技术、机密等进行严格保密，不得向他人泄漏。本合同的解除或终止不免除供应商应承担的保密义务。</w:t>
      </w:r>
    </w:p>
    <w:p w14:paraId="58C755C4">
      <w:pPr>
        <w:numPr>
          <w:ilvl w:val="0"/>
          <w:numId w:val="0"/>
        </w:numPr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24"/>
          <w:szCs w:val="24"/>
          <w:lang w:val="en-US" w:eastAsia="zh-CN" w:bidi="ar-SA"/>
        </w:rPr>
        <w:t>九、服务及培训要求</w:t>
      </w:r>
    </w:p>
    <w:p w14:paraId="546EC458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仿宋" w:hAnsi="仿宋" w:eastAsia="仿宋" w:cs="仿宋"/>
          <w:b w:val="0"/>
          <w:bCs w:val="0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（一）服务要求</w:t>
      </w:r>
    </w:p>
    <w:p w14:paraId="0ABF0D79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仿宋" w:hAnsi="仿宋" w:eastAsia="仿宋" w:cs="仿宋"/>
          <w:b w:val="0"/>
          <w:bCs w:val="0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1、服务期限：在运维服务期内，对于影响平台正常运行的故障修复时间不超过12小时，重大问题应立即启动应急预案，保障平台正常使用，并尽快修复问题。</w:t>
      </w:r>
    </w:p>
    <w:p w14:paraId="4A5F4732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仿宋" w:hAnsi="仿宋" w:eastAsia="仿宋" w:cs="仿宋"/>
          <w:b w:val="0"/>
          <w:bCs w:val="0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2、服务人员：安排参与本项目实施、并对本项目熟悉的人员负责本项目的运维服务。</w:t>
      </w:r>
    </w:p>
    <w:p w14:paraId="58415A8D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仿宋" w:hAnsi="仿宋" w:eastAsia="仿宋" w:cs="仿宋"/>
          <w:b w:val="0"/>
          <w:bCs w:val="0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（二）培训要求</w:t>
      </w:r>
    </w:p>
    <w:p w14:paraId="313E1C89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 xml:space="preserve">    投标人需提供培训方案，培训方案中至少包含培训对象、培训方式、培训内容、培训计划等内容，要求面向系统开发和管理员、各级领导、系统操作人员等不同群体提供系统化、定制化和有针对性的培训。</w:t>
      </w:r>
    </w:p>
    <w:p w14:paraId="21CFA4B9">
      <w:pPr>
        <w:numPr>
          <w:ilvl w:val="0"/>
          <w:numId w:val="0"/>
        </w:numPr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24"/>
          <w:szCs w:val="24"/>
          <w:lang w:val="en-US" w:eastAsia="zh-CN" w:bidi="ar-SA"/>
        </w:rPr>
        <w:t>十、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合同争议的解决</w:t>
      </w:r>
    </w:p>
    <w:p w14:paraId="5CE19557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合同执行中发生争议的，当事人双方应协商解决。协商达不成一致时，可向采购人所在地人民法院申请诉讼。</w:t>
      </w:r>
    </w:p>
    <w:p w14:paraId="04C1BD78">
      <w:pPr>
        <w:numPr>
          <w:ilvl w:val="0"/>
          <w:numId w:val="0"/>
        </w:numPr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24"/>
          <w:szCs w:val="24"/>
          <w:lang w:val="en-US" w:eastAsia="zh-CN" w:bidi="ar-SA"/>
        </w:rPr>
        <w:t>十一、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不可抗力情况下的免责约定</w:t>
      </w:r>
    </w:p>
    <w:p w14:paraId="4F57F331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双方约定不可抗力情况指：双方不可预见、不可避免、不可克服的客观情况，但不包括双方的违约或疏忽。这些事件包括但不限于：战争、严重火灾、洪水、台风、地震等。</w:t>
      </w:r>
    </w:p>
    <w:p w14:paraId="259222C9">
      <w:pPr>
        <w:numPr>
          <w:ilvl w:val="0"/>
          <w:numId w:val="0"/>
        </w:numPr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24"/>
          <w:szCs w:val="24"/>
          <w:lang w:val="en-US" w:eastAsia="zh-CN" w:bidi="ar-SA"/>
        </w:rPr>
        <w:t>十二、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违约责任</w:t>
      </w:r>
    </w:p>
    <w:p w14:paraId="3AFE31B1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依据《中华人民共和国民法典》等相关条款和本合同约定，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成交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供应商未全面履行合同义务或者发生违约，采购单位会同采购代理机构有权终止合同，依法向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成交供应商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进行经济索赔，并报请政府采购监督管理机关进行相应的行政处罚。采购单位违约的，应当赔偿给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成交供应商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造成的经济损失。</w:t>
      </w:r>
    </w:p>
    <w:p w14:paraId="38459C2B">
      <w:pPr>
        <w:numPr>
          <w:ilvl w:val="0"/>
          <w:numId w:val="0"/>
        </w:numPr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24"/>
          <w:szCs w:val="24"/>
          <w:lang w:val="en-US" w:eastAsia="zh-CN" w:bidi="ar-SA"/>
        </w:rPr>
        <w:t>十三、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其他</w:t>
      </w:r>
    </w:p>
    <w:p w14:paraId="38169CF2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（在合同中具体明确）</w:t>
      </w:r>
    </w:p>
    <w:p w14:paraId="1A3258FD">
      <w:pPr>
        <w:numPr>
          <w:ilvl w:val="0"/>
          <w:numId w:val="0"/>
        </w:numPr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24"/>
          <w:szCs w:val="24"/>
          <w:lang w:val="en-US" w:eastAsia="zh-CN" w:bidi="ar-SA"/>
        </w:rPr>
        <w:t>十四、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合同订立</w:t>
      </w:r>
    </w:p>
    <w:p w14:paraId="2798A390">
      <w:pPr>
        <w:numPr>
          <w:ilvl w:val="0"/>
          <w:numId w:val="4"/>
        </w:num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订立时间：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日。</w:t>
      </w:r>
    </w:p>
    <w:p w14:paraId="07BA54B2">
      <w:pPr>
        <w:numPr>
          <w:ilvl w:val="0"/>
          <w:numId w:val="4"/>
        </w:numPr>
        <w:spacing w:line="360" w:lineRule="auto"/>
        <w:ind w:left="0" w:leftChars="0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订立地点：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。</w:t>
      </w:r>
    </w:p>
    <w:p w14:paraId="77290B3C">
      <w:pPr>
        <w:numPr>
          <w:ilvl w:val="0"/>
          <w:numId w:val="0"/>
        </w:numPr>
        <w:ind w:leftChars="0" w:firstLine="480" w:firstLineChars="200"/>
        <w:rPr>
          <w:rFonts w:hint="default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3. 本合同一式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份，其中，合同正本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份，副本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份，具有同等法律效力，正副本不一致，以正本为准。采供双方各执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份，监管部门备案、采购代理机构存档。采购人与供应商双方签字盖章后生效，合同执行完毕自动失效。（合同的服务承诺则长期有效）。</w:t>
      </w:r>
    </w:p>
    <w:p w14:paraId="6833885F">
      <w:pPr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kern w:val="0"/>
          <w:sz w:val="24"/>
          <w:highlight w:val="none"/>
        </w:rPr>
      </w:pPr>
    </w:p>
    <w:p w14:paraId="5AD476CE">
      <w:pPr>
        <w:adjustRightInd w:val="0"/>
        <w:snapToGrid w:val="0"/>
        <w:spacing w:line="360" w:lineRule="auto"/>
        <w:ind w:firstLine="480" w:firstLineChars="200"/>
        <w:rPr>
          <w:rFonts w:hint="default" w:ascii="宋体" w:hAnsi="宋体" w:eastAsia="仿宋" w:cs="宋体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cs="宋体"/>
          <w:kern w:val="0"/>
          <w:sz w:val="24"/>
          <w:highlight w:val="none"/>
          <w:lang w:val="en-US" w:eastAsia="zh-CN"/>
        </w:rPr>
        <w:t>本页以后无正文</w:t>
      </w:r>
    </w:p>
    <w:tbl>
      <w:tblPr>
        <w:tblStyle w:val="5"/>
        <w:tblpPr w:leftFromText="180" w:rightFromText="180" w:vertAnchor="text" w:horzAnchor="margin" w:tblpY="54"/>
        <w:tblW w:w="947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13"/>
        <w:gridCol w:w="4860"/>
      </w:tblGrid>
      <w:tr w14:paraId="1089D6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9" w:hRule="atLeast"/>
        </w:trPr>
        <w:tc>
          <w:tcPr>
            <w:tcW w:w="4613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88EABA3">
            <w:pPr>
              <w:autoSpaceDE w:val="0"/>
              <w:autoSpaceDN w:val="0"/>
              <w:spacing w:line="360" w:lineRule="auto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  <w:p w14:paraId="683EE103">
            <w:pPr>
              <w:autoSpaceDE w:val="0"/>
              <w:autoSpaceDN w:val="0"/>
              <w:spacing w:line="360" w:lineRule="auto"/>
              <w:ind w:left="240" w:leftChars="100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 xml:space="preserve">买方名称： </w:t>
            </w:r>
          </w:p>
          <w:p w14:paraId="7407A9B8">
            <w:pPr>
              <w:autoSpaceDE w:val="0"/>
              <w:autoSpaceDN w:val="0"/>
              <w:spacing w:line="360" w:lineRule="auto"/>
              <w:ind w:left="240" w:leftChars="100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 xml:space="preserve">地    址： </w:t>
            </w:r>
          </w:p>
          <w:p w14:paraId="37B4BB8C">
            <w:pPr>
              <w:autoSpaceDE w:val="0"/>
              <w:autoSpaceDN w:val="0"/>
              <w:spacing w:line="360" w:lineRule="auto"/>
              <w:ind w:left="240" w:leftChars="100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邮    编：</w:t>
            </w:r>
          </w:p>
          <w:p w14:paraId="471AFE07">
            <w:pPr>
              <w:autoSpaceDE w:val="0"/>
              <w:autoSpaceDN w:val="0"/>
              <w:spacing w:line="360" w:lineRule="auto"/>
              <w:ind w:left="240" w:leftChars="100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电    话：</w:t>
            </w:r>
          </w:p>
          <w:p w14:paraId="5DDCF27D">
            <w:pPr>
              <w:autoSpaceDE w:val="0"/>
              <w:autoSpaceDN w:val="0"/>
              <w:spacing w:line="360" w:lineRule="auto"/>
              <w:ind w:left="240" w:leftChars="100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传    真：</w:t>
            </w:r>
          </w:p>
          <w:p w14:paraId="41372B0F">
            <w:pPr>
              <w:autoSpaceDE w:val="0"/>
              <w:autoSpaceDN w:val="0"/>
              <w:spacing w:line="360" w:lineRule="auto"/>
              <w:ind w:left="240" w:leftChars="100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  <w:p w14:paraId="031D776D">
            <w:pPr>
              <w:autoSpaceDE w:val="0"/>
              <w:autoSpaceDN w:val="0"/>
              <w:spacing w:line="360" w:lineRule="auto"/>
              <w:ind w:left="240" w:leftChars="100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代表签字：</w:t>
            </w:r>
          </w:p>
          <w:p w14:paraId="4CBD1429">
            <w:pPr>
              <w:autoSpaceDE w:val="0"/>
              <w:autoSpaceDN w:val="0"/>
              <w:spacing w:line="360" w:lineRule="auto"/>
              <w:ind w:left="240" w:leftChars="100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  <w:p w14:paraId="7F81A16C">
            <w:pPr>
              <w:spacing w:line="360" w:lineRule="auto"/>
              <w:ind w:left="240" w:leftChars="100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盖章：</w:t>
            </w:r>
          </w:p>
        </w:tc>
        <w:tc>
          <w:tcPr>
            <w:tcW w:w="486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0671A93">
            <w:pPr>
              <w:autoSpaceDE w:val="0"/>
              <w:autoSpaceDN w:val="0"/>
              <w:spacing w:line="360" w:lineRule="auto"/>
              <w:ind w:left="240" w:leftChars="100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  <w:p w14:paraId="4ABB3AE3">
            <w:pPr>
              <w:autoSpaceDE w:val="0"/>
              <w:autoSpaceDN w:val="0"/>
              <w:spacing w:line="360" w:lineRule="auto"/>
              <w:ind w:left="240" w:leftChars="100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卖方名称：</w:t>
            </w:r>
          </w:p>
          <w:p w14:paraId="2D58EDA9">
            <w:pPr>
              <w:autoSpaceDE w:val="0"/>
              <w:autoSpaceDN w:val="0"/>
              <w:spacing w:line="360" w:lineRule="auto"/>
              <w:ind w:left="240" w:leftChars="100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 xml:space="preserve">地    址： </w:t>
            </w:r>
          </w:p>
          <w:p w14:paraId="3674D856">
            <w:pPr>
              <w:autoSpaceDE w:val="0"/>
              <w:autoSpaceDN w:val="0"/>
              <w:spacing w:line="360" w:lineRule="auto"/>
              <w:ind w:left="240" w:leftChars="100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 xml:space="preserve">邮    编： </w:t>
            </w:r>
          </w:p>
          <w:p w14:paraId="45511EDB">
            <w:pPr>
              <w:autoSpaceDE w:val="0"/>
              <w:autoSpaceDN w:val="0"/>
              <w:spacing w:line="360" w:lineRule="auto"/>
              <w:ind w:left="240" w:leftChars="100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 xml:space="preserve">电    话： </w:t>
            </w:r>
          </w:p>
          <w:p w14:paraId="7A69C6E9">
            <w:pPr>
              <w:autoSpaceDE w:val="0"/>
              <w:autoSpaceDN w:val="0"/>
              <w:spacing w:line="360" w:lineRule="auto"/>
              <w:ind w:left="240" w:leftChars="100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 xml:space="preserve">传    真：  </w:t>
            </w:r>
          </w:p>
          <w:p w14:paraId="2C2154D1">
            <w:pPr>
              <w:autoSpaceDE w:val="0"/>
              <w:autoSpaceDN w:val="0"/>
              <w:spacing w:line="360" w:lineRule="auto"/>
              <w:ind w:left="240" w:leftChars="100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开户银行：</w:t>
            </w:r>
          </w:p>
          <w:p w14:paraId="2079EB10">
            <w:pPr>
              <w:autoSpaceDE w:val="0"/>
              <w:autoSpaceDN w:val="0"/>
              <w:spacing w:line="360" w:lineRule="auto"/>
              <w:ind w:left="240" w:leftChars="100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帐    号：</w:t>
            </w:r>
          </w:p>
          <w:p w14:paraId="527B43E4">
            <w:pPr>
              <w:autoSpaceDE w:val="0"/>
              <w:autoSpaceDN w:val="0"/>
              <w:spacing w:line="360" w:lineRule="auto"/>
              <w:ind w:left="240" w:leftChars="100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代表签字：</w:t>
            </w:r>
          </w:p>
          <w:p w14:paraId="68A7715B">
            <w:pPr>
              <w:spacing w:line="360" w:lineRule="auto"/>
              <w:ind w:left="240" w:leftChars="100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盖章：</w:t>
            </w:r>
          </w:p>
        </w:tc>
      </w:tr>
    </w:tbl>
    <w:p w14:paraId="1F7813A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10C5379"/>
    <w:multiLevelType w:val="singleLevel"/>
    <w:tmpl w:val="C10C5379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E0AC371E"/>
    <w:multiLevelType w:val="multilevel"/>
    <w:tmpl w:val="E0AC371E"/>
    <w:lvl w:ilvl="0" w:tentative="0">
      <w:start w:val="1"/>
      <w:numFmt w:val="decimal"/>
      <w:suff w:val="space"/>
      <w:lvlText w:val="%1."/>
      <w:lvlJc w:val="left"/>
    </w:lvl>
    <w:lvl w:ilvl="1" w:tentative="0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 w:tentative="0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 w:tentative="0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 w:tentative="0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 w:tentative="0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 w:tentative="0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 w:tentative="0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 w:tentative="0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">
    <w:nsid w:val="10360E94"/>
    <w:multiLevelType w:val="singleLevel"/>
    <w:tmpl w:val="10360E94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3EC9021E"/>
    <w:multiLevelType w:val="singleLevel"/>
    <w:tmpl w:val="3EC9021E"/>
    <w:lvl w:ilvl="0" w:tentative="0">
      <w:start w:val="1"/>
      <w:numFmt w:val="decimal"/>
      <w:suff w:val="space"/>
      <w:lvlText w:val="%1.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NmMDNhZDlmYzhkYTg0ZjBmM2QxZjM1YWJkYzU1ZGUifQ=="/>
  </w:docVars>
  <w:rsids>
    <w:rsidRoot w:val="167A49B8"/>
    <w:rsid w:val="167A49B8"/>
    <w:rsid w:val="4AB02978"/>
    <w:rsid w:val="7E847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kinsoku w:val="0"/>
      <w:spacing w:line="480" w:lineRule="exact"/>
      <w:jc w:val="both"/>
    </w:pPr>
    <w:rPr>
      <w:rFonts w:ascii="仿宋" w:hAnsi="仿宋" w:eastAsia="仿宋" w:cs="仿宋"/>
      <w:kern w:val="2"/>
      <w:sz w:val="24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600" w:lineRule="exact"/>
      <w:jc w:val="center"/>
      <w:outlineLvl w:val="0"/>
    </w:pPr>
    <w:rPr>
      <w:rFonts w:ascii="Times New Roman" w:hAnsi="Times New Roman" w:cs="Times New Roman"/>
      <w:b/>
      <w:kern w:val="44"/>
      <w:sz w:val="36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</w:style>
  <w:style w:type="paragraph" w:styleId="4">
    <w:name w:val="Body Text"/>
    <w:basedOn w:val="1"/>
    <w:next w:val="1"/>
    <w:unhideWhenUsed/>
    <w:qFormat/>
    <w:uiPriority w:val="99"/>
    <w:pPr>
      <w:spacing w:after="120"/>
    </w:p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null3"/>
    <w:hidden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1450</Words>
  <Characters>1463</Characters>
  <Lines>0</Lines>
  <Paragraphs>0</Paragraphs>
  <TotalTime>0</TotalTime>
  <ScaleCrop>false</ScaleCrop>
  <LinksUpToDate>false</LinksUpToDate>
  <CharactersWithSpaces>1553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2024-06-07T05:11:00Z</dcterms:created>
  <dc:creator>巴黎夜雨</dc:creator>
  <cp:lastModifiedBy>爱工作的鑫鑫子</cp:lastModifiedBy>
  <dcterms:modified xsi:type="dcterms:W3CDTF">2025-05-07T08:47:24Z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3339BBE9BF84460EA64464EE102BAB14_13</vt:lpwstr>
  </property>
  <property fmtid="{D5CDD505-2E9C-101B-9397-08002B2CF9AE}" pid="4" name="KSOTemplateDocerSaveRecord">
    <vt:lpwstr>eyJoZGlkIjoiNDcxZGRkMzJiODdmYjAyZjIxZWMxZWQ0OWM2Njg2NDYiLCJ1c2VySWQiOiIzMTk2NDk2NjIifQ==</vt:lpwstr>
  </property>
</Properties>
</file>