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版本号：CTSD2025-FW-01520250507001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陕西省国土空间规划实施和调整监测预警体系构建项目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CTSD2025-FW-015</w:t>
      </w:r>
      <w:r>
        <w:br/>
      </w:r>
      <w:r>
        <w:br/>
      </w:r>
      <w:r>
        <w:br/>
      </w:r>
    </w:p>
    <w:p>
      <w:pPr>
        <w:pStyle w:val="null3"/>
        <w:jc w:val="center"/>
        <w:outlineLvl w:val="2"/>
      </w:pPr>
      <w:r>
        <w:rPr>
          <w:rFonts w:ascii="仿宋_GB2312" w:hAnsi="仿宋_GB2312" w:cs="仿宋_GB2312" w:eastAsia="仿宋_GB2312"/>
          <w:sz w:val="28"/>
          <w:b/>
        </w:rPr>
        <w:t>陕西省自然资源信息中心（陕西省地质资料档案馆）</w:t>
      </w:r>
    </w:p>
    <w:p>
      <w:pPr>
        <w:pStyle w:val="null3"/>
        <w:jc w:val="center"/>
        <w:outlineLvl w:val="2"/>
      </w:pPr>
      <w:r>
        <w:rPr>
          <w:rFonts w:ascii="仿宋_GB2312" w:hAnsi="仿宋_GB2312" w:cs="仿宋_GB2312" w:eastAsia="仿宋_GB2312"/>
          <w:sz w:val="28"/>
          <w:b/>
        </w:rPr>
        <w:t>城投时代（陕西）项目管理有限公司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城投时代（陕西）项目管理有限公司</w:t>
      </w:r>
      <w:r>
        <w:rPr>
          <w:rFonts w:ascii="仿宋_GB2312" w:hAnsi="仿宋_GB2312" w:cs="仿宋_GB2312" w:eastAsia="仿宋_GB2312"/>
        </w:rPr>
        <w:t>（以下简称“代理机构”）受</w:t>
      </w:r>
      <w:r>
        <w:rPr>
          <w:rFonts w:ascii="仿宋_GB2312" w:hAnsi="仿宋_GB2312" w:cs="仿宋_GB2312" w:eastAsia="仿宋_GB2312"/>
        </w:rPr>
        <w:t>陕西省自然资源信息中心（陕西省地质资料档案馆）</w:t>
      </w:r>
      <w:r>
        <w:rPr>
          <w:rFonts w:ascii="仿宋_GB2312" w:hAnsi="仿宋_GB2312" w:cs="仿宋_GB2312" w:eastAsia="仿宋_GB2312"/>
        </w:rPr>
        <w:t>委托，拟对</w:t>
      </w:r>
      <w:r>
        <w:rPr>
          <w:rFonts w:ascii="仿宋_GB2312" w:hAnsi="仿宋_GB2312" w:cs="仿宋_GB2312" w:eastAsia="仿宋_GB2312"/>
        </w:rPr>
        <w:t>陕西省国土空间规划实施和调整监测预警体系构建项目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CTSD2025-FW-015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陕西省国土空间规划实施和调整监测预警体系构建项目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贯彻落实各政策文件精神，结合陕西省自然资源厅相关工作要求及实际情况，充分利用已有成果，依托现有自然资源“一张图”和基础信息平台的基础，围绕规划和自然资源实际业务管理需求，借助大数据、人工智能等先进技术，开展陕西省国土空间规划实施和调整监测预警体系构建项目建设，形成标准统一、链接通畅、横纵贯通的国土空间规划实施监测网络，从而实现国土空间规划实施监督、监测评估等管理“智能化”，提升国土空间治理数字化水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采购包1（陕西省国土空间规划实施和调整监测预警体系构建项目）：属于专门面向中小企业采购。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2、信用记录：不得为“信用中国” 网站（www.creditchina.gov.cn）严重失信主体和重大税收违法失信主体的供应商，不得为中国政府采购网（www.ccgp.gov.cn）政府采购严重违法失信行为记录名单中被财政部门禁止参加政府采购活动的的供应商。</w:t>
      </w:r>
    </w:p>
    <w:p>
      <w:pPr>
        <w:pStyle w:val="null3"/>
      </w:pPr>
      <w:r>
        <w:rPr>
          <w:rFonts w:ascii="仿宋_GB2312" w:hAnsi="仿宋_GB2312" w:cs="仿宋_GB2312" w:eastAsia="仿宋_GB2312"/>
        </w:rPr>
        <w:t>3、企业资质：申请人应具备行政主管部门颁发的乙级或以上规划资质证书;申请人拟派项目负责人须为本企业注册且具备注册城乡规划师证书。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陕西省自然资源信息中心（陕西省地质资料档案馆）</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雁塔北路100号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陕西省自然资源信息中心经办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029-87852040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城投时代（陕西）项目管理有限公司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陕西省西安市未央区凤城七路联益中心501室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刘力玮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029-89160083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开户名称：城投时代（陕西）项目管理有限公司</w:t>
            </w:r>
          </w:p>
          <w:p>
            <w:pPr>
              <w:pStyle w:val="null3"/>
            </w:pPr>
            <w:r>
              <w:rPr>
                <w:rFonts w:ascii="仿宋_GB2312" w:hAnsi="仿宋_GB2312" w:cs="仿宋_GB2312" w:eastAsia="仿宋_GB2312"/>
              </w:rPr>
              <w:t>开户银行：西安银行股份有限公司高新四路支行</w:t>
            </w:r>
          </w:p>
          <w:p>
            <w:pPr>
              <w:pStyle w:val="null3"/>
            </w:pPr>
            <w:r>
              <w:rPr>
                <w:rFonts w:ascii="仿宋_GB2312" w:hAnsi="仿宋_GB2312" w:cs="仿宋_GB2312" w:eastAsia="仿宋_GB2312"/>
              </w:rPr>
              <w:t>银行账号：611011520000003218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 。 2、支付方式：成交供应商应在领取通知书的同时，支付本项目代理服务费。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陕西省自然资源信息中心（陕西省地质资料档案馆）</w:t>
      </w:r>
      <w:r>
        <w:rPr>
          <w:rFonts w:ascii="仿宋_GB2312" w:hAnsi="仿宋_GB2312" w:cs="仿宋_GB2312" w:eastAsia="仿宋_GB2312"/>
        </w:rPr>
        <w:t>和</w:t>
      </w:r>
      <w:r>
        <w:rPr>
          <w:rFonts w:ascii="仿宋_GB2312" w:hAnsi="仿宋_GB2312" w:cs="仿宋_GB2312" w:eastAsia="仿宋_GB2312"/>
        </w:rPr>
        <w:t>城投时代（陕西）项目管理有限公司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陕西省自然资源信息中心（陕西省地质资料档案馆）</w:t>
      </w:r>
      <w:r>
        <w:rPr>
          <w:rFonts w:ascii="仿宋_GB2312" w:hAnsi="仿宋_GB2312" w:cs="仿宋_GB2312" w:eastAsia="仿宋_GB2312"/>
        </w:rPr>
        <w:t>负责解释。除上述磋商文件内容，其他内容由</w:t>
      </w:r>
      <w:r>
        <w:rPr>
          <w:rFonts w:ascii="仿宋_GB2312" w:hAnsi="仿宋_GB2312" w:cs="仿宋_GB2312" w:eastAsia="仿宋_GB2312"/>
        </w:rPr>
        <w:t>城投时代（陕西）项目管理有限公司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陕西省自然资源信息中心（陕西省地质资料档案馆）</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城投时代（陕西）项目管理有限公司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满足采购需求，按照合同具体约定。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陕西省自然资源信息中心（陕西省地质资料档案馆）</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城投时代（陕西）项目管理有限公司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联系人：刘力玮</w:t>
      </w:r>
    </w:p>
    <w:p>
      <w:pPr>
        <w:pStyle w:val="null3"/>
      </w:pPr>
      <w:r>
        <w:rPr>
          <w:rFonts w:ascii="仿宋_GB2312" w:hAnsi="仿宋_GB2312" w:cs="仿宋_GB2312" w:eastAsia="仿宋_GB2312"/>
        </w:rPr>
        <w:t>联系电话：029-89160083</w:t>
      </w:r>
    </w:p>
    <w:p>
      <w:pPr>
        <w:pStyle w:val="null3"/>
      </w:pPr>
      <w:r>
        <w:rPr>
          <w:rFonts w:ascii="仿宋_GB2312" w:hAnsi="仿宋_GB2312" w:cs="仿宋_GB2312" w:eastAsia="仿宋_GB2312"/>
        </w:rPr>
        <w:t>地址：陕西省西安市未央区凤城七路联益中心5楼501室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贯彻落实各政策文件精神，结合陕西省自然资源厅相关工作要求及实际情况，充分利用已有成果，依托现有自然资源“一张图”和基础信息平台的基础，围绕规划和自然资源实际业务管理需求，借助大数据、人工智能等先进技术，开展陕西省国土空间规划实施和调整监测预警体系构建项目建设，形成标准统一、链接通畅、横纵贯通的国土空间规划实施监测网络，从而实现国土空间规划实施监督、监测评估等管理“智能化”，提升国土空间治理数字化水平。</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陕西省国土空间规划实施和调整监测预警体系构建项目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标的名称：陕西省国土空间规划实施和调整监测预警体系构建项目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315" w:after="315"/>
              <w:jc w:val="left"/>
              <w:outlineLvl w:val="1"/>
            </w:pPr>
            <w:r>
              <w:rPr>
                <w:rFonts w:ascii="仿宋_GB2312" w:hAnsi="仿宋_GB2312" w:cs="仿宋_GB2312" w:eastAsia="仿宋_GB2312"/>
                <w:sz w:val="24"/>
                <w:b/>
              </w:rPr>
              <w:t>一、</w:t>
            </w:r>
            <w:r>
              <w:rPr>
                <w:rFonts w:ascii="仿宋_GB2312" w:hAnsi="仿宋_GB2312" w:cs="仿宋_GB2312" w:eastAsia="仿宋_GB2312"/>
                <w:sz w:val="24"/>
                <w:b/>
              </w:rPr>
              <w:t>项目背景</w:t>
            </w:r>
          </w:p>
          <w:p>
            <w:pPr>
              <w:pStyle w:val="null3"/>
              <w:ind w:firstLine="480"/>
              <w:jc w:val="both"/>
            </w:pPr>
            <w:r>
              <w:rPr>
                <w:rFonts w:ascii="仿宋_GB2312" w:hAnsi="仿宋_GB2312" w:cs="仿宋_GB2312" w:eastAsia="仿宋_GB2312"/>
                <w:sz w:val="24"/>
              </w:rPr>
              <w:t>加快建设网络强国、数字中国的战略部署。党中央、国务院印发的《全国国土空间规划纲要（</w:t>
            </w:r>
            <w:r>
              <w:rPr>
                <w:rFonts w:ascii="仿宋_GB2312" w:hAnsi="仿宋_GB2312" w:cs="仿宋_GB2312" w:eastAsia="仿宋_GB2312"/>
                <w:sz w:val="24"/>
              </w:rPr>
              <w:t>2021—2035年）》</w:t>
            </w:r>
            <w:r>
              <w:rPr>
                <w:rFonts w:ascii="仿宋_GB2312" w:hAnsi="仿宋_GB2312" w:cs="仿宋_GB2312" w:eastAsia="仿宋_GB2312"/>
                <w:sz w:val="24"/>
              </w:rPr>
              <w:t>把</w:t>
            </w:r>
            <w:r>
              <w:rPr>
                <w:rFonts w:ascii="仿宋_GB2312" w:hAnsi="仿宋_GB2312" w:cs="仿宋_GB2312" w:eastAsia="仿宋_GB2312"/>
                <w:sz w:val="24"/>
              </w:rPr>
              <w:t>“建设数字国土”设定为战略目标，明确要求建设国土空间规划实施监测网络</w:t>
            </w:r>
            <w:r>
              <w:rPr>
                <w:rFonts w:ascii="仿宋_GB2312" w:hAnsi="仿宋_GB2312" w:cs="仿宋_GB2312" w:eastAsia="仿宋_GB2312"/>
                <w:sz w:val="24"/>
              </w:rPr>
              <w:t>。</w:t>
            </w:r>
            <w:r>
              <w:rPr>
                <w:rFonts w:ascii="仿宋_GB2312" w:hAnsi="仿宋_GB2312" w:cs="仿宋_GB2312" w:eastAsia="仿宋_GB2312"/>
                <w:sz w:val="24"/>
              </w:rPr>
              <w:t>2023年9月，自然资源部办公厅印发《全国国土空间规划实施监测网络建设工作方案（2023—2027年）》，</w:t>
            </w:r>
            <w:r>
              <w:rPr>
                <w:rFonts w:ascii="仿宋_GB2312" w:hAnsi="仿宋_GB2312" w:cs="仿宋_GB2312" w:eastAsia="仿宋_GB2312"/>
                <w:sz w:val="24"/>
              </w:rPr>
              <w:t>要求全面启动</w:t>
            </w:r>
            <w:r>
              <w:rPr>
                <w:rFonts w:ascii="仿宋_GB2312" w:hAnsi="仿宋_GB2312" w:cs="仿宋_GB2312" w:eastAsia="仿宋_GB2312"/>
                <w:sz w:val="24"/>
              </w:rPr>
              <w:t>“可感知、能学习、善治理、自适应”的CSPON建设工作，将其作为国土空间治理领域推动数字生态文明建设的具体举措</w:t>
            </w:r>
            <w:r>
              <w:rPr>
                <w:rFonts w:ascii="仿宋_GB2312" w:hAnsi="仿宋_GB2312" w:cs="仿宋_GB2312" w:eastAsia="仿宋_GB2312"/>
                <w:sz w:val="24"/>
              </w:rPr>
              <w:t>。</w:t>
            </w:r>
            <w:r>
              <w:rPr>
                <w:rFonts w:ascii="仿宋_GB2312" w:hAnsi="仿宋_GB2312" w:cs="仿宋_GB2312" w:eastAsia="仿宋_GB2312"/>
                <w:sz w:val="24"/>
              </w:rPr>
              <w:t>2023年12月，自然资源部办公厅印发《关于部署开展国土空间规划实施监测网络建设试点的通知》</w:t>
            </w:r>
            <w:r>
              <w:rPr>
                <w:rFonts w:ascii="仿宋_GB2312" w:hAnsi="仿宋_GB2312" w:cs="仿宋_GB2312" w:eastAsia="仿宋_GB2312"/>
                <w:sz w:val="24"/>
              </w:rPr>
              <w:t>，陕西省获批国土空间规划实施监测网络建设试点。</w:t>
            </w:r>
            <w:r>
              <w:rPr>
                <w:rFonts w:ascii="仿宋_GB2312" w:hAnsi="仿宋_GB2312" w:cs="仿宋_GB2312" w:eastAsia="仿宋_GB2312"/>
                <w:sz w:val="24"/>
              </w:rPr>
              <w:t>2024年2月，自然资源部印发的《自然资源数字化治理能力提升总体方案</w:t>
            </w:r>
            <w:r>
              <w:rPr>
                <w:rFonts w:ascii="仿宋_GB2312" w:hAnsi="仿宋_GB2312" w:cs="仿宋_GB2312" w:eastAsia="仿宋_GB2312"/>
                <w:sz w:val="24"/>
              </w:rPr>
              <w:t>》</w:t>
            </w:r>
            <w:r>
              <w:rPr>
                <w:rFonts w:ascii="仿宋_GB2312" w:hAnsi="仿宋_GB2312" w:cs="仿宋_GB2312" w:eastAsia="仿宋_GB2312"/>
                <w:sz w:val="24"/>
              </w:rPr>
              <w:t>，要求要构建国土空间规划场景，增强动态感知、实时监测、自动预警、模拟推演等能力，建设</w:t>
            </w:r>
            <w:r>
              <w:rPr>
                <w:rFonts w:ascii="仿宋_GB2312" w:hAnsi="仿宋_GB2312" w:cs="仿宋_GB2312" w:eastAsia="仿宋_GB2312"/>
                <w:sz w:val="24"/>
              </w:rPr>
              <w:t>“可感知、能学习、善治理、自适应”的智慧规划。2024年5月，国家发展改革委、国家数据局、财政部、自然资源部印发的《关于深化智慧城市发展推进城市全域数字化转型的指导意见》，要求加快提升国土空间基础信息平台智能化水平，建设国土空间规划实施监测网络，支撑自然资源和国土空间规划分析决策。2024年8月，自然资源部办公厅印发《关于保护和永续利用自然资源扎实推进美丽中国建设的实施意见》，要求建立国土空间规划定期体检评估制度，建设全目间规划实施监测网络，以“数字化”“网络化”推进规划管理流程优化、政策创新和制度改革。</w:t>
            </w:r>
          </w:p>
          <w:p>
            <w:pPr>
              <w:pStyle w:val="null3"/>
              <w:ind w:firstLine="480"/>
              <w:jc w:val="both"/>
            </w:pPr>
            <w:r>
              <w:rPr>
                <w:rFonts w:ascii="仿宋_GB2312" w:hAnsi="仿宋_GB2312" w:cs="仿宋_GB2312" w:eastAsia="仿宋_GB2312"/>
                <w:sz w:val="24"/>
              </w:rPr>
              <w:t>为贯彻落实各政策文件精神，结合陕西省自然资源厅相关工作要求及实际情况，充分利用已有成果，依托现有自然资源</w:t>
            </w:r>
            <w:r>
              <w:rPr>
                <w:rFonts w:ascii="仿宋_GB2312" w:hAnsi="仿宋_GB2312" w:cs="仿宋_GB2312" w:eastAsia="仿宋_GB2312"/>
                <w:sz w:val="24"/>
              </w:rPr>
              <w:t>“一张图”和基础信息平台的基础，围绕规划和自然资源实际业务管理需求，借助大数据、人工智能等先进技术，开展陕西省国土空间规划实施和调整监测预警体系构建项目建设，形成标准统一、链接通畅、横纵贯通的国土空间规划实施监测网络，从而实现国土空间规划实施监督、监测评估等管理“智能化”，提升国土空间治理数字化水平。</w:t>
            </w:r>
          </w:p>
          <w:p>
            <w:pPr>
              <w:pStyle w:val="null3"/>
              <w:spacing w:before="315" w:after="315"/>
              <w:jc w:val="left"/>
              <w:outlineLvl w:val="1"/>
            </w:pPr>
            <w:r>
              <w:rPr>
                <w:rFonts w:ascii="仿宋_GB2312" w:hAnsi="仿宋_GB2312" w:cs="仿宋_GB2312" w:eastAsia="仿宋_GB2312"/>
                <w:sz w:val="24"/>
                <w:b/>
              </w:rPr>
              <w:t>二、建设依据</w:t>
            </w:r>
          </w:p>
          <w:p>
            <w:pPr>
              <w:pStyle w:val="null3"/>
              <w:ind w:firstLine="480"/>
              <w:jc w:val="both"/>
            </w:pPr>
            <w:r>
              <w:rPr>
                <w:rFonts w:ascii="仿宋_GB2312" w:hAnsi="仿宋_GB2312" w:cs="仿宋_GB2312" w:eastAsia="仿宋_GB2312"/>
                <w:sz w:val="24"/>
              </w:rPr>
              <w:t>（一）政策文件</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《全国国土空间规划实施监测网络建设工作方案</w:t>
            </w:r>
            <w:r>
              <w:rPr>
                <w:rFonts w:ascii="仿宋_GB2312" w:hAnsi="仿宋_GB2312" w:cs="仿宋_GB2312" w:eastAsia="仿宋_GB2312"/>
                <w:sz w:val="24"/>
              </w:rPr>
              <w:t>(2023—2027年)》（自然资办发〔2023〕36号）</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《关于部署开展国土空间规划实施监测网络建设试点的通知》（自然资办函〔</w:t>
            </w:r>
            <w:r>
              <w:rPr>
                <w:rFonts w:ascii="仿宋_GB2312" w:hAnsi="仿宋_GB2312" w:cs="仿宋_GB2312" w:eastAsia="仿宋_GB2312"/>
                <w:sz w:val="24"/>
              </w:rPr>
              <w:t>2023〕2432号）</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《自然资源数字化治理能力提升总体方案》（</w:t>
            </w:r>
            <w:r>
              <w:rPr>
                <w:rFonts w:ascii="仿宋_GB2312" w:hAnsi="仿宋_GB2312" w:cs="仿宋_GB2312" w:eastAsia="仿宋_GB2312"/>
                <w:sz w:val="24"/>
              </w:rPr>
              <w:t>自然资发〔</w:t>
            </w:r>
            <w:r>
              <w:rPr>
                <w:rFonts w:ascii="仿宋_GB2312" w:hAnsi="仿宋_GB2312" w:cs="仿宋_GB2312" w:eastAsia="仿宋_GB2312"/>
                <w:sz w:val="24"/>
              </w:rPr>
              <w:t>2024〕33号）</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《关于深化智慧城市发展推进城市全域数字化转型的指导意见》（发改数据〔</w:t>
            </w:r>
            <w:r>
              <w:rPr>
                <w:rFonts w:ascii="仿宋_GB2312" w:hAnsi="仿宋_GB2312" w:cs="仿宋_GB2312" w:eastAsia="仿宋_GB2312"/>
                <w:sz w:val="24"/>
              </w:rPr>
              <w:t>2024〕660号）</w:t>
            </w:r>
          </w:p>
          <w:p>
            <w:pPr>
              <w:pStyle w:val="null3"/>
              <w:ind w:firstLine="480"/>
            </w:pPr>
            <w:r>
              <w:rPr>
                <w:rFonts w:ascii="仿宋_GB2312" w:hAnsi="仿宋_GB2312" w:cs="仿宋_GB2312" w:eastAsia="仿宋_GB2312"/>
                <w:sz w:val="24"/>
              </w:rPr>
              <w:t>5.</w:t>
            </w:r>
            <w:r>
              <w:rPr>
                <w:rFonts w:ascii="仿宋_GB2312" w:hAnsi="仿宋_GB2312" w:cs="仿宋_GB2312" w:eastAsia="仿宋_GB2312"/>
                <w:sz w:val="24"/>
              </w:rPr>
              <w:t>《关于保护和永续利用自然资源扎实推进美丽中国建设的实施意见》（自然资发〔</w:t>
            </w:r>
            <w:r>
              <w:rPr>
                <w:rFonts w:ascii="仿宋_GB2312" w:hAnsi="仿宋_GB2312" w:cs="仿宋_GB2312" w:eastAsia="仿宋_GB2312"/>
                <w:sz w:val="24"/>
              </w:rPr>
              <w:t>2024〕150号）</w:t>
            </w:r>
          </w:p>
          <w:p>
            <w:pPr>
              <w:pStyle w:val="null3"/>
              <w:ind w:firstLine="480"/>
            </w:pPr>
            <w:r>
              <w:rPr>
                <w:rFonts w:ascii="仿宋_GB2312" w:hAnsi="仿宋_GB2312" w:cs="仿宋_GB2312" w:eastAsia="仿宋_GB2312"/>
                <w:sz w:val="24"/>
              </w:rPr>
              <w:t>6.</w:t>
            </w:r>
            <w:r>
              <w:rPr>
                <w:rFonts w:ascii="仿宋_GB2312" w:hAnsi="仿宋_GB2312" w:cs="仿宋_GB2312" w:eastAsia="仿宋_GB2312"/>
                <w:sz w:val="24"/>
              </w:rPr>
              <w:t>《全国国土空间规划纲要（</w:t>
            </w:r>
            <w:r>
              <w:rPr>
                <w:rFonts w:ascii="仿宋_GB2312" w:hAnsi="仿宋_GB2312" w:cs="仿宋_GB2312" w:eastAsia="仿宋_GB2312"/>
                <w:sz w:val="24"/>
              </w:rPr>
              <w:t>2021-2035年）》</w:t>
            </w:r>
          </w:p>
          <w:p>
            <w:pPr>
              <w:pStyle w:val="null3"/>
              <w:ind w:firstLine="480"/>
              <w:jc w:val="both"/>
            </w:pPr>
            <w:r>
              <w:rPr>
                <w:rFonts w:ascii="仿宋_GB2312" w:hAnsi="仿宋_GB2312" w:cs="仿宋_GB2312" w:eastAsia="仿宋_GB2312"/>
                <w:sz w:val="24"/>
              </w:rPr>
              <w:t>（二）技术规范</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《计算机软件开发规范》（</w:t>
            </w:r>
            <w:r>
              <w:rPr>
                <w:rFonts w:ascii="仿宋_GB2312" w:hAnsi="仿宋_GB2312" w:cs="仿宋_GB2312" w:eastAsia="仿宋_GB2312"/>
                <w:sz w:val="24"/>
              </w:rPr>
              <w:t>GB8566-88）</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《计算机软件产品开发文件编制指南》（</w:t>
            </w:r>
            <w:r>
              <w:rPr>
                <w:rFonts w:ascii="仿宋_GB2312" w:hAnsi="仿宋_GB2312" w:cs="仿宋_GB2312" w:eastAsia="仿宋_GB2312"/>
                <w:sz w:val="24"/>
              </w:rPr>
              <w:t>GB8567-2006）</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《计算机软件质量保证计划规范》（</w:t>
            </w:r>
            <w:r>
              <w:rPr>
                <w:rFonts w:ascii="仿宋_GB2312" w:hAnsi="仿宋_GB2312" w:cs="仿宋_GB2312" w:eastAsia="仿宋_GB2312"/>
                <w:sz w:val="24"/>
              </w:rPr>
              <w:t>GB/T12504-90）</w:t>
            </w:r>
          </w:p>
          <w:p>
            <w:pPr>
              <w:pStyle w:val="null3"/>
              <w:ind w:firstLine="480"/>
            </w:pPr>
            <w:r>
              <w:rPr>
                <w:rFonts w:ascii="仿宋_GB2312" w:hAnsi="仿宋_GB2312" w:cs="仿宋_GB2312" w:eastAsia="仿宋_GB2312"/>
                <w:sz w:val="24"/>
              </w:rPr>
              <w:t>4.</w:t>
            </w:r>
            <w:r>
              <w:rPr>
                <w:rFonts w:ascii="仿宋_GB2312" w:hAnsi="仿宋_GB2312" w:cs="仿宋_GB2312" w:eastAsia="仿宋_GB2312"/>
                <w:sz w:val="24"/>
              </w:rPr>
              <w:t>《计算机软件配置管理计划规范》（</w:t>
            </w:r>
            <w:r>
              <w:rPr>
                <w:rFonts w:ascii="仿宋_GB2312" w:hAnsi="仿宋_GB2312" w:cs="仿宋_GB2312" w:eastAsia="仿宋_GB2312"/>
                <w:sz w:val="24"/>
              </w:rPr>
              <w:t>GB/T12505-90）</w:t>
            </w:r>
          </w:p>
          <w:p>
            <w:pPr>
              <w:pStyle w:val="null3"/>
              <w:ind w:firstLine="480"/>
            </w:pPr>
            <w:r>
              <w:rPr>
                <w:rFonts w:ascii="仿宋_GB2312" w:hAnsi="仿宋_GB2312" w:cs="仿宋_GB2312" w:eastAsia="仿宋_GB2312"/>
                <w:sz w:val="24"/>
              </w:rPr>
              <w:t>5.</w:t>
            </w:r>
            <w:r>
              <w:rPr>
                <w:rFonts w:ascii="仿宋_GB2312" w:hAnsi="仿宋_GB2312" w:cs="仿宋_GB2312" w:eastAsia="仿宋_GB2312"/>
                <w:sz w:val="24"/>
              </w:rPr>
              <w:t>《计算机软件需求说明编制指南》（</w:t>
            </w:r>
            <w:r>
              <w:rPr>
                <w:rFonts w:ascii="仿宋_GB2312" w:hAnsi="仿宋_GB2312" w:cs="仿宋_GB2312" w:eastAsia="仿宋_GB2312"/>
                <w:sz w:val="24"/>
              </w:rPr>
              <w:t>GB9385-2008）</w:t>
            </w:r>
          </w:p>
          <w:p>
            <w:pPr>
              <w:pStyle w:val="null3"/>
              <w:ind w:firstLine="480"/>
            </w:pPr>
            <w:r>
              <w:rPr>
                <w:rFonts w:ascii="仿宋_GB2312" w:hAnsi="仿宋_GB2312" w:cs="仿宋_GB2312" w:eastAsia="仿宋_GB2312"/>
                <w:sz w:val="24"/>
              </w:rPr>
              <w:t>6.</w:t>
            </w:r>
            <w:r>
              <w:rPr>
                <w:rFonts w:ascii="仿宋_GB2312" w:hAnsi="仿宋_GB2312" w:cs="仿宋_GB2312" w:eastAsia="仿宋_GB2312"/>
                <w:sz w:val="24"/>
              </w:rPr>
              <w:t>《计算机软件测试文档编制规范》（</w:t>
            </w:r>
            <w:r>
              <w:rPr>
                <w:rFonts w:ascii="仿宋_GB2312" w:hAnsi="仿宋_GB2312" w:cs="仿宋_GB2312" w:eastAsia="仿宋_GB2312"/>
                <w:sz w:val="24"/>
              </w:rPr>
              <w:t>GB/T9386-2008）</w:t>
            </w:r>
          </w:p>
          <w:p>
            <w:pPr>
              <w:pStyle w:val="null3"/>
              <w:ind w:firstLine="480"/>
            </w:pPr>
            <w:r>
              <w:rPr>
                <w:rFonts w:ascii="仿宋_GB2312" w:hAnsi="仿宋_GB2312" w:cs="仿宋_GB2312" w:eastAsia="仿宋_GB2312"/>
                <w:sz w:val="24"/>
              </w:rPr>
              <w:t>7.</w:t>
            </w:r>
            <w:r>
              <w:rPr>
                <w:rFonts w:ascii="仿宋_GB2312" w:hAnsi="仿宋_GB2312" w:cs="仿宋_GB2312" w:eastAsia="仿宋_GB2312"/>
                <w:sz w:val="24"/>
              </w:rPr>
              <w:t>《软件工程术语》（</w:t>
            </w:r>
            <w:r>
              <w:rPr>
                <w:rFonts w:ascii="仿宋_GB2312" w:hAnsi="仿宋_GB2312" w:cs="仿宋_GB2312" w:eastAsia="仿宋_GB2312"/>
                <w:sz w:val="24"/>
              </w:rPr>
              <w:t>GB/T11457）</w:t>
            </w:r>
          </w:p>
          <w:p>
            <w:pPr>
              <w:pStyle w:val="null3"/>
              <w:ind w:firstLine="480"/>
            </w:pPr>
            <w:r>
              <w:rPr>
                <w:rFonts w:ascii="仿宋_GB2312" w:hAnsi="仿宋_GB2312" w:cs="仿宋_GB2312" w:eastAsia="仿宋_GB2312"/>
                <w:sz w:val="24"/>
              </w:rPr>
              <w:t>8.</w:t>
            </w:r>
            <w:r>
              <w:rPr>
                <w:rFonts w:ascii="仿宋_GB2312" w:hAnsi="仿宋_GB2312" w:cs="仿宋_GB2312" w:eastAsia="仿宋_GB2312"/>
                <w:sz w:val="24"/>
              </w:rPr>
              <w:t>《电子证照</w:t>
            </w:r>
            <w:r>
              <w:rPr>
                <w:rFonts w:ascii="仿宋_GB2312" w:hAnsi="仿宋_GB2312" w:cs="仿宋_GB2312" w:eastAsia="仿宋_GB2312"/>
                <w:sz w:val="24"/>
              </w:rPr>
              <w:t>共享服务接口规范》（</w:t>
            </w:r>
            <w:r>
              <w:rPr>
                <w:rFonts w:ascii="仿宋_GB2312" w:hAnsi="仿宋_GB2312" w:cs="仿宋_GB2312" w:eastAsia="仿宋_GB2312"/>
                <w:sz w:val="24"/>
              </w:rPr>
              <w:t>GB/T 36906-2018）</w:t>
            </w:r>
          </w:p>
          <w:p>
            <w:pPr>
              <w:pStyle w:val="null3"/>
              <w:ind w:firstLine="480"/>
            </w:pPr>
            <w:r>
              <w:rPr>
                <w:rFonts w:ascii="仿宋_GB2312" w:hAnsi="仿宋_GB2312" w:cs="仿宋_GB2312" w:eastAsia="仿宋_GB2312"/>
                <w:sz w:val="24"/>
              </w:rPr>
              <w:t>9.</w:t>
            </w:r>
            <w:r>
              <w:rPr>
                <w:rFonts w:ascii="仿宋_GB2312" w:hAnsi="仿宋_GB2312" w:cs="仿宋_GB2312" w:eastAsia="仿宋_GB2312"/>
                <w:sz w:val="24"/>
              </w:rPr>
              <w:t>《信息安全技术</w:t>
            </w:r>
            <w:r>
              <w:rPr>
                <w:rFonts w:ascii="仿宋_GB2312" w:hAnsi="仿宋_GB2312" w:cs="仿宋_GB2312" w:eastAsia="仿宋_GB2312"/>
                <w:sz w:val="24"/>
              </w:rPr>
              <w:t>网络安全等级保护基本要求》（</w:t>
            </w:r>
            <w:r>
              <w:rPr>
                <w:rFonts w:ascii="仿宋_GB2312" w:hAnsi="仿宋_GB2312" w:cs="仿宋_GB2312" w:eastAsia="仿宋_GB2312"/>
                <w:sz w:val="24"/>
              </w:rPr>
              <w:t>GB/T22239）</w:t>
            </w:r>
          </w:p>
          <w:p>
            <w:pPr>
              <w:pStyle w:val="null3"/>
              <w:ind w:firstLine="480"/>
            </w:pPr>
            <w:r>
              <w:rPr>
                <w:rFonts w:ascii="仿宋_GB2312" w:hAnsi="仿宋_GB2312" w:cs="仿宋_GB2312" w:eastAsia="仿宋_GB2312"/>
                <w:sz w:val="24"/>
              </w:rPr>
              <w:t>10.</w:t>
            </w:r>
            <w:r>
              <w:rPr>
                <w:rFonts w:ascii="仿宋_GB2312" w:hAnsi="仿宋_GB2312" w:cs="仿宋_GB2312" w:eastAsia="仿宋_GB2312"/>
                <w:sz w:val="24"/>
              </w:rPr>
              <w:t>《信息安全技术</w:t>
            </w:r>
            <w:r>
              <w:rPr>
                <w:rFonts w:ascii="仿宋_GB2312" w:hAnsi="仿宋_GB2312" w:cs="仿宋_GB2312" w:eastAsia="仿宋_GB2312"/>
                <w:sz w:val="24"/>
              </w:rPr>
              <w:t>网络安全等级保护定级指南》（</w:t>
            </w:r>
            <w:r>
              <w:rPr>
                <w:rFonts w:ascii="仿宋_GB2312" w:hAnsi="仿宋_GB2312" w:cs="仿宋_GB2312" w:eastAsia="仿宋_GB2312"/>
                <w:sz w:val="24"/>
              </w:rPr>
              <w:t>GB/T22240）</w:t>
            </w:r>
          </w:p>
          <w:p>
            <w:pPr>
              <w:pStyle w:val="null3"/>
              <w:ind w:firstLine="480"/>
            </w:pPr>
            <w:r>
              <w:rPr>
                <w:rFonts w:ascii="仿宋_GB2312" w:hAnsi="仿宋_GB2312" w:cs="仿宋_GB2312" w:eastAsia="仿宋_GB2312"/>
                <w:sz w:val="24"/>
              </w:rPr>
              <w:t>11.</w:t>
            </w:r>
            <w:r>
              <w:rPr>
                <w:rFonts w:ascii="仿宋_GB2312" w:hAnsi="仿宋_GB2312" w:cs="仿宋_GB2312" w:eastAsia="仿宋_GB2312"/>
                <w:sz w:val="24"/>
              </w:rPr>
              <w:t>《信息安全运行管理系统总体架构》（</w:t>
            </w:r>
            <w:r>
              <w:rPr>
                <w:rFonts w:ascii="仿宋_GB2312" w:hAnsi="仿宋_GB2312" w:cs="仿宋_GB2312" w:eastAsia="仿宋_GB2312"/>
                <w:sz w:val="24"/>
              </w:rPr>
              <w:t>YD/T1800-2008）</w:t>
            </w:r>
          </w:p>
          <w:p>
            <w:pPr>
              <w:pStyle w:val="null3"/>
              <w:spacing w:before="315" w:after="315"/>
              <w:jc w:val="left"/>
              <w:outlineLvl w:val="1"/>
            </w:pPr>
            <w:r>
              <w:rPr>
                <w:rFonts w:ascii="仿宋_GB2312" w:hAnsi="仿宋_GB2312" w:cs="仿宋_GB2312" w:eastAsia="仿宋_GB2312"/>
                <w:sz w:val="24"/>
                <w:b/>
              </w:rPr>
              <w:t>三、</w:t>
            </w:r>
            <w:r>
              <w:rPr>
                <w:rFonts w:ascii="仿宋_GB2312" w:hAnsi="仿宋_GB2312" w:cs="仿宋_GB2312" w:eastAsia="仿宋_GB2312"/>
                <w:sz w:val="24"/>
                <w:b/>
              </w:rPr>
              <w:t>建设目标</w:t>
            </w:r>
          </w:p>
          <w:p>
            <w:pPr>
              <w:pStyle w:val="null3"/>
              <w:ind w:firstLine="480"/>
              <w:jc w:val="both"/>
            </w:pPr>
            <w:r>
              <w:rPr>
                <w:rFonts w:ascii="仿宋_GB2312" w:hAnsi="仿宋_GB2312" w:cs="仿宋_GB2312" w:eastAsia="仿宋_GB2312"/>
                <w:sz w:val="24"/>
              </w:rPr>
              <w:t>贯彻落实《全国国土空间规划纲要（</w:t>
            </w:r>
            <w:r>
              <w:rPr>
                <w:rFonts w:ascii="仿宋_GB2312" w:hAnsi="仿宋_GB2312" w:cs="仿宋_GB2312" w:eastAsia="仿宋_GB2312"/>
                <w:sz w:val="24"/>
              </w:rPr>
              <w:t>2021-2035年）》</w:t>
            </w:r>
            <w:r>
              <w:rPr>
                <w:rFonts w:ascii="仿宋_GB2312" w:hAnsi="仿宋_GB2312" w:cs="仿宋_GB2312" w:eastAsia="仿宋_GB2312"/>
                <w:sz w:val="24"/>
              </w:rPr>
              <w:t>《全国国土空间规划实施监测网络建设工作方案</w:t>
            </w:r>
            <w:r>
              <w:rPr>
                <w:rFonts w:ascii="仿宋_GB2312" w:hAnsi="仿宋_GB2312" w:cs="仿宋_GB2312" w:eastAsia="仿宋_GB2312"/>
                <w:sz w:val="24"/>
              </w:rPr>
              <w:t>(2023—2027年)》</w:t>
            </w:r>
            <w:r>
              <w:rPr>
                <w:rFonts w:ascii="仿宋_GB2312" w:hAnsi="仿宋_GB2312" w:cs="仿宋_GB2312" w:eastAsia="仿宋_GB2312"/>
                <w:sz w:val="24"/>
              </w:rPr>
              <w:t>《自然资源部办公厅关于部署开展国土空间规划实施监测网络建设试点的通知》，以国土空间基础信息平台、国土空间规划实施监测网络为基础，围绕规划和自然资源实际业务管理需求，开展国土空间规划数据治理，深化国土空间规划传导、审查、监测工作机制，支撑陕西省国土空间规划实施监测网络试点建设工作开展，全面提升国土空间治理数字化水平。</w:t>
            </w:r>
          </w:p>
          <w:p>
            <w:pPr>
              <w:pStyle w:val="null3"/>
              <w:spacing w:before="315" w:after="315"/>
              <w:jc w:val="left"/>
              <w:outlineLvl w:val="1"/>
            </w:pPr>
            <w:r>
              <w:rPr>
                <w:rFonts w:ascii="仿宋_GB2312" w:hAnsi="仿宋_GB2312" w:cs="仿宋_GB2312" w:eastAsia="仿宋_GB2312"/>
                <w:sz w:val="24"/>
                <w:b/>
              </w:rPr>
              <w:t>四、</w:t>
            </w:r>
            <w:r>
              <w:rPr>
                <w:rFonts w:ascii="仿宋_GB2312" w:hAnsi="仿宋_GB2312" w:cs="仿宋_GB2312" w:eastAsia="仿宋_GB2312"/>
                <w:sz w:val="24"/>
                <w:b/>
              </w:rPr>
              <w:t>采购内容</w:t>
            </w:r>
          </w:p>
          <w:p>
            <w:pPr>
              <w:pStyle w:val="null3"/>
              <w:ind w:firstLine="480"/>
              <w:jc w:val="both"/>
            </w:pPr>
            <w:r>
              <w:rPr>
                <w:rFonts w:ascii="仿宋_GB2312" w:hAnsi="仿宋_GB2312" w:cs="仿宋_GB2312" w:eastAsia="仿宋_GB2312"/>
                <w:sz w:val="24"/>
              </w:rPr>
              <w:t>本项目采购内容主要包括：</w:t>
            </w:r>
          </w:p>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规划实施监测与分析评价</w:t>
            </w:r>
            <w:r>
              <w:rPr>
                <w:rFonts w:ascii="仿宋_GB2312" w:hAnsi="仿宋_GB2312" w:cs="仿宋_GB2312" w:eastAsia="仿宋_GB2312"/>
                <w:sz w:val="24"/>
                <w:b/>
              </w:rPr>
              <w:t>数据整理入库。</w:t>
            </w:r>
          </w:p>
          <w:p>
            <w:pPr>
              <w:pStyle w:val="null3"/>
              <w:ind w:firstLine="480"/>
              <w:jc w:val="both"/>
            </w:pPr>
            <w:r>
              <w:rPr>
                <w:rFonts w:ascii="仿宋_GB2312" w:hAnsi="仿宋_GB2312" w:cs="仿宋_GB2312" w:eastAsia="仿宋_GB2312"/>
                <w:sz w:val="24"/>
              </w:rPr>
              <w:t>结合新形势新任务，研究完善规划实施监测与分析评价成果全流程数据管理规范，细化国土空间规划实施管理的业务规则、规划实施监测与分析评价数据整理入库规则，包括数据目录、数据质检、版本管理、整理入库、更新服务等，开展数据成果的质检、整理、入库以及服务发布和共享推送等，形成统一规范的、可用于上图展示的专题数据集，夯实国土空间实施监测网络</w:t>
            </w:r>
            <w:r>
              <w:rPr>
                <w:rFonts w:ascii="仿宋_GB2312" w:hAnsi="仿宋_GB2312" w:cs="仿宋_GB2312" w:eastAsia="仿宋_GB2312"/>
                <w:sz w:val="24"/>
              </w:rPr>
              <w:t>CSPON的数据底板，支撑规划实施监测成果可视化应用。</w:t>
            </w:r>
          </w:p>
          <w:p>
            <w:pPr>
              <w:pStyle w:val="null3"/>
              <w:ind w:firstLine="480"/>
              <w:jc w:val="both"/>
            </w:pPr>
            <w:r>
              <w:rPr>
                <w:rFonts w:ascii="仿宋_GB2312" w:hAnsi="仿宋_GB2312" w:cs="仿宋_GB2312" w:eastAsia="仿宋_GB2312"/>
                <w:sz w:val="24"/>
              </w:rPr>
              <w:t>1、数据整理：对国土空间规划编制、审批和实施监督全过程所需的各种类型数据进行梳理，分析各类数据间的层次、类别和关系，对国土空间信息的数据资源进行统一规划，制定统一的数据资源分类体系，形成全域覆盖、内容丰富、标准统一、准确权威的数据资源体系。</w:t>
            </w:r>
          </w:p>
          <w:p>
            <w:pPr>
              <w:pStyle w:val="null3"/>
              <w:ind w:firstLine="480"/>
              <w:jc w:val="both"/>
            </w:pPr>
            <w:r>
              <w:rPr>
                <w:rFonts w:ascii="仿宋_GB2312" w:hAnsi="仿宋_GB2312" w:cs="仿宋_GB2312" w:eastAsia="仿宋_GB2312"/>
                <w:sz w:val="24"/>
              </w:rPr>
              <w:t>2、数据质检：对收集整理的各类国土空间规划成果开展数据完整性、数据一致性审查，检查全省各市县提交数据的目录组织、命名方式等是否正确，确保数据的可用性。审查通过后，开展数据规范性、一致性和正确性的质量技术检查，确保数据质量。</w:t>
            </w:r>
          </w:p>
          <w:p>
            <w:pPr>
              <w:pStyle w:val="null3"/>
              <w:ind w:firstLine="480"/>
              <w:jc w:val="both"/>
            </w:pPr>
            <w:r>
              <w:rPr>
                <w:rFonts w:ascii="仿宋_GB2312" w:hAnsi="仿宋_GB2312" w:cs="仿宋_GB2312" w:eastAsia="仿宋_GB2312"/>
                <w:sz w:val="24"/>
              </w:rPr>
              <w:t>3、数据分析与建库：对各类国土空间基础数据进行分析，提出数据整合与处理方案，包括数据加工、整理、转换方案等，明确数据整合的任务、内容、技术路线方法，对国土空间规划实施监测相关数据进行规范化处理，理顺业务数据治理和逻辑串联，形成相互关联的业务数据体系，建立结构统一、资源完备存储规范规划成果数据库，实现将质检通过的各类规划成果导入到成果库，支撑规划核心业务全周期数据管理和查询展示。</w:t>
            </w:r>
          </w:p>
          <w:p>
            <w:pPr>
              <w:pStyle w:val="null3"/>
              <w:ind w:firstLine="480"/>
              <w:jc w:val="both"/>
            </w:pPr>
            <w:r>
              <w:rPr>
                <w:rFonts w:ascii="仿宋_GB2312" w:hAnsi="仿宋_GB2312" w:cs="仿宋_GB2312" w:eastAsia="仿宋_GB2312"/>
                <w:sz w:val="24"/>
              </w:rPr>
              <w:t>4、服务发布：基于《国土空间规划数据库规范》的要求和成果数据库，按照数据共享交换标准要求，结合业务应用的实际需求和用户读图的体验要求，将汇交的各类国土空间规划成果进行整合，完成相应的成果数据制图，并进行相应的服务发布，完成从数据资源整合成果到实际系统应用的系列工作，形成可层层叠叠打开的国土空间规划一张图，提供数据服务和功能服务。</w:t>
            </w:r>
          </w:p>
          <w:p>
            <w:pPr>
              <w:pStyle w:val="null3"/>
              <w:ind w:firstLine="480"/>
              <w:jc w:val="both"/>
            </w:pPr>
            <w:r>
              <w:rPr>
                <w:rFonts w:ascii="仿宋_GB2312" w:hAnsi="仿宋_GB2312" w:cs="仿宋_GB2312" w:eastAsia="仿宋_GB2312"/>
                <w:sz w:val="24"/>
              </w:rPr>
              <w:t>5、数据更新维护：对国土空间规划成果数据库、服务开展日常更新维护、服务监测、数据备份、安全管理、性能优化工作，保障数据的高效稳定运行。</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国土空间规划</w:t>
            </w:r>
            <w:r>
              <w:rPr>
                <w:rFonts w:ascii="仿宋_GB2312" w:hAnsi="仿宋_GB2312" w:cs="仿宋_GB2312" w:eastAsia="仿宋_GB2312"/>
                <w:sz w:val="24"/>
                <w:b/>
              </w:rPr>
              <w:t>传导审查机制建设</w:t>
            </w:r>
          </w:p>
          <w:p>
            <w:pPr>
              <w:pStyle w:val="null3"/>
              <w:ind w:firstLine="480"/>
              <w:jc w:val="both"/>
            </w:pPr>
            <w:r>
              <w:rPr>
                <w:rFonts w:ascii="仿宋_GB2312" w:hAnsi="仿宋_GB2312" w:cs="仿宋_GB2312" w:eastAsia="仿宋_GB2312"/>
                <w:sz w:val="24"/>
              </w:rPr>
              <w:t>依据陕西省</w:t>
            </w:r>
            <w:r>
              <w:rPr>
                <w:rFonts w:ascii="仿宋_GB2312" w:hAnsi="仿宋_GB2312" w:cs="仿宋_GB2312" w:eastAsia="仿宋_GB2312"/>
                <w:sz w:val="24"/>
              </w:rPr>
              <w:t>“四级三类”规划体系，以国土空间总体规划强制性管控内容为底线，根据国土空间规划“指标、控制线、用途、指引、名录”传导要素，基于陕西省国土空间实施监测网络实现规划成果在线传导一致性审查，推动从国土空间总体规划到详细规划的规划成果在线传导情况审查、核对。</w:t>
            </w:r>
          </w:p>
          <w:p>
            <w:pPr>
              <w:pStyle w:val="null3"/>
              <w:ind w:firstLine="480"/>
              <w:jc w:val="both"/>
            </w:pPr>
            <w:r>
              <w:rPr>
                <w:rFonts w:ascii="仿宋_GB2312" w:hAnsi="仿宋_GB2312" w:cs="仿宋_GB2312" w:eastAsia="仿宋_GB2312"/>
                <w:sz w:val="24"/>
              </w:rPr>
              <w:t>1.总体规划传导一致性审查</w:t>
            </w:r>
          </w:p>
          <w:p>
            <w:pPr>
              <w:pStyle w:val="null3"/>
              <w:ind w:firstLine="480"/>
              <w:jc w:val="both"/>
            </w:pPr>
            <w:r>
              <w:rPr>
                <w:rFonts w:ascii="仿宋_GB2312" w:hAnsi="仿宋_GB2312" w:cs="仿宋_GB2312" w:eastAsia="仿宋_GB2312"/>
                <w:sz w:val="24"/>
              </w:rPr>
              <w:t>基于总体规划传导内容、规则和方式等内容，在线开展总体规划传导一致性审查，按照</w:t>
            </w:r>
            <w:r>
              <w:rPr>
                <w:rFonts w:ascii="仿宋_GB2312" w:hAnsi="仿宋_GB2312" w:cs="仿宋_GB2312" w:eastAsia="仿宋_GB2312"/>
                <w:sz w:val="24"/>
              </w:rPr>
              <w:t>“省级总规-市级总规-县级总规-乡镇级总规”的传导逻辑，对各级规划是否符合上级规划传导的一致性、衔接符合性进行检查，支持智能生成检查报告。</w:t>
            </w:r>
          </w:p>
          <w:p>
            <w:pPr>
              <w:pStyle w:val="null3"/>
              <w:ind w:firstLine="480"/>
              <w:jc w:val="both"/>
            </w:pPr>
            <w:r>
              <w:rPr>
                <w:rFonts w:ascii="仿宋_GB2312" w:hAnsi="仿宋_GB2312" w:cs="仿宋_GB2312" w:eastAsia="仿宋_GB2312"/>
                <w:sz w:val="24"/>
              </w:rPr>
              <w:t>2. 详细规划传导一致性审查</w:t>
            </w:r>
          </w:p>
          <w:p>
            <w:pPr>
              <w:pStyle w:val="null3"/>
              <w:ind w:firstLine="480"/>
              <w:jc w:val="both"/>
            </w:pPr>
            <w:r>
              <w:rPr>
                <w:rFonts w:ascii="仿宋_GB2312" w:hAnsi="仿宋_GB2312" w:cs="仿宋_GB2312" w:eastAsia="仿宋_GB2312"/>
                <w:sz w:val="24"/>
              </w:rPr>
              <w:t>基于详细规划传导内容、规则和方式等内容，在线开展详细规划传导一致性审查，按照</w:t>
            </w:r>
            <w:r>
              <w:rPr>
                <w:rFonts w:ascii="仿宋_GB2312" w:hAnsi="仿宋_GB2312" w:cs="仿宋_GB2312" w:eastAsia="仿宋_GB2312"/>
                <w:sz w:val="24"/>
              </w:rPr>
              <w:t>“市县总规-城镇单元规划-地块实施详细规划”、“市县总规-生态单元、农业单元规划-村庄规划”的传导逻辑，对各级规划是否符合上级规划传导的一致性、衔接符合性进行检查，支持智能生成检查报告。</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“三区三线”实施监测预警体系建设</w:t>
            </w:r>
          </w:p>
          <w:p>
            <w:pPr>
              <w:pStyle w:val="null3"/>
              <w:ind w:firstLine="480"/>
              <w:jc w:val="both"/>
            </w:pPr>
            <w:r>
              <w:rPr>
                <w:rFonts w:ascii="仿宋_GB2312" w:hAnsi="仿宋_GB2312" w:cs="仿宋_GB2312" w:eastAsia="仿宋_GB2312"/>
                <w:sz w:val="24"/>
              </w:rPr>
              <w:t>为落实国土空间规划动态监测评估预警机制要求，围绕国土空间规划的迫切需求与突出问题，开展</w:t>
            </w:r>
            <w:r>
              <w:rPr>
                <w:rFonts w:ascii="仿宋_GB2312" w:hAnsi="仿宋_GB2312" w:cs="仿宋_GB2312" w:eastAsia="仿宋_GB2312"/>
                <w:sz w:val="24"/>
              </w:rPr>
              <w:t>“三区三线”实施监测预警体系建设，包括对生态保护红线实施监测、城镇开发边界实施监测、耕地和永久基本农田实施监测，切实强化对国土空间规划实施监督工作。</w:t>
            </w:r>
          </w:p>
          <w:p>
            <w:pPr>
              <w:pStyle w:val="null3"/>
              <w:ind w:firstLine="480"/>
              <w:jc w:val="both"/>
            </w:pPr>
            <w:r>
              <w:rPr>
                <w:rFonts w:ascii="仿宋_GB2312" w:hAnsi="仿宋_GB2312" w:cs="仿宋_GB2312" w:eastAsia="仿宋_GB2312"/>
                <w:sz w:val="24"/>
              </w:rPr>
              <w:t>1、监测指标设定和模型设计</w:t>
            </w:r>
          </w:p>
          <w:p>
            <w:pPr>
              <w:pStyle w:val="null3"/>
              <w:ind w:firstLine="480"/>
              <w:jc w:val="both"/>
            </w:pPr>
            <w:r>
              <w:rPr>
                <w:rFonts w:ascii="仿宋_GB2312" w:hAnsi="仿宋_GB2312" w:cs="仿宋_GB2312" w:eastAsia="仿宋_GB2312"/>
                <w:sz w:val="24"/>
              </w:rPr>
              <w:t>开展生态保护红线、城镇开发边界监测、耕地和永久基本农田监测相关指标体系、模型设计，作为后续开展安全底线监管预警的底层支撑。</w:t>
            </w:r>
          </w:p>
          <w:p>
            <w:pPr>
              <w:pStyle w:val="null3"/>
              <w:ind w:firstLine="480"/>
              <w:jc w:val="both"/>
            </w:pPr>
            <w:r>
              <w:rPr>
                <w:rFonts w:ascii="仿宋_GB2312" w:hAnsi="仿宋_GB2312" w:cs="仿宋_GB2312" w:eastAsia="仿宋_GB2312"/>
                <w:sz w:val="24"/>
              </w:rPr>
              <w:t>2、生态保护红线实施监测</w:t>
            </w:r>
          </w:p>
          <w:p>
            <w:pPr>
              <w:pStyle w:val="null3"/>
              <w:ind w:firstLine="480"/>
              <w:jc w:val="both"/>
            </w:pPr>
            <w:r>
              <w:rPr>
                <w:rFonts w:ascii="仿宋_GB2312" w:hAnsi="仿宋_GB2312" w:cs="仿宋_GB2312" w:eastAsia="仿宋_GB2312"/>
                <w:sz w:val="24"/>
              </w:rPr>
              <w:t>从生态系统完整性、连通性及生态系统服务功能、生态保护红线监督管理能力等方面，开展生态保护红线划定、红线调增、红线内土地利用情况等监测，以确保生态保护红线功能不降低、面积不减少、性质不改变。</w:t>
            </w:r>
          </w:p>
          <w:p>
            <w:pPr>
              <w:pStyle w:val="null3"/>
              <w:ind w:firstLine="480"/>
              <w:jc w:val="both"/>
            </w:pPr>
            <w:r>
              <w:rPr>
                <w:rFonts w:ascii="仿宋_GB2312" w:hAnsi="仿宋_GB2312" w:cs="仿宋_GB2312" w:eastAsia="仿宋_GB2312"/>
                <w:sz w:val="24"/>
              </w:rPr>
              <w:t>3、城镇开发边界实施监测</w:t>
            </w:r>
          </w:p>
          <w:p>
            <w:pPr>
              <w:pStyle w:val="null3"/>
              <w:ind w:firstLine="480"/>
              <w:jc w:val="both"/>
            </w:pPr>
            <w:r>
              <w:rPr>
                <w:rFonts w:ascii="仿宋_GB2312" w:hAnsi="仿宋_GB2312" w:cs="仿宋_GB2312" w:eastAsia="仿宋_GB2312"/>
                <w:sz w:val="24"/>
              </w:rPr>
              <w:t>面向城镇开发边界内国土空间结构、效率、品质及对社会经济活动支撑情况，开展城镇开发边界划定情况、城镇建设用地使用情况、边界调整情况等监测，确保城市开发边界总量锁定、增量严控，为城镇开发边界内人地协调、布局优化、品质提升、要素保障等方面提供规划指引。</w:t>
            </w:r>
          </w:p>
          <w:p>
            <w:pPr>
              <w:pStyle w:val="null3"/>
              <w:ind w:firstLine="480"/>
              <w:jc w:val="both"/>
            </w:pPr>
            <w:r>
              <w:rPr>
                <w:rFonts w:ascii="仿宋_GB2312" w:hAnsi="仿宋_GB2312" w:cs="仿宋_GB2312" w:eastAsia="仿宋_GB2312"/>
                <w:sz w:val="24"/>
              </w:rPr>
              <w:t>4、耕地和永久基本农田实施监测</w:t>
            </w:r>
          </w:p>
          <w:p>
            <w:pPr>
              <w:pStyle w:val="null3"/>
              <w:ind w:firstLine="480"/>
              <w:jc w:val="both"/>
            </w:pPr>
            <w:r>
              <w:rPr>
                <w:rFonts w:ascii="仿宋_GB2312" w:hAnsi="仿宋_GB2312" w:cs="仿宋_GB2312" w:eastAsia="仿宋_GB2312"/>
                <w:sz w:val="24"/>
              </w:rPr>
              <w:t>开展耕地和永久基本农田边界内耕地现状与保护目标、占补平衡、耕地质量等监测，确保耕地和永久基本农田面积不减、质量提升、布局稳定，提升耕地质量。</w:t>
            </w:r>
          </w:p>
          <w:p>
            <w:pPr>
              <w:pStyle w:val="null3"/>
              <w:spacing w:before="315" w:after="315"/>
              <w:jc w:val="left"/>
              <w:outlineLvl w:val="1"/>
            </w:pPr>
            <w:r>
              <w:rPr>
                <w:rFonts w:ascii="仿宋_GB2312" w:hAnsi="仿宋_GB2312" w:cs="仿宋_GB2312" w:eastAsia="仿宋_GB2312"/>
                <w:sz w:val="24"/>
                <w:b/>
              </w:rPr>
              <w:t>五、工期和工作地点要求</w:t>
            </w:r>
          </w:p>
          <w:p>
            <w:pPr>
              <w:pStyle w:val="null3"/>
              <w:ind w:firstLine="480"/>
              <w:jc w:val="both"/>
            </w:pPr>
            <w:r>
              <w:rPr>
                <w:rFonts w:ascii="仿宋_GB2312" w:hAnsi="仿宋_GB2312" w:cs="仿宋_GB2312" w:eastAsia="仿宋_GB2312"/>
                <w:sz w:val="24"/>
              </w:rPr>
              <w:t>项目工期：</w:t>
            </w:r>
            <w:r>
              <w:rPr>
                <w:rFonts w:ascii="仿宋_GB2312" w:hAnsi="仿宋_GB2312" w:cs="仿宋_GB2312" w:eastAsia="仿宋_GB2312"/>
                <w:sz w:val="24"/>
              </w:rPr>
              <w:t>供应商</w:t>
            </w:r>
            <w:r>
              <w:rPr>
                <w:rFonts w:ascii="仿宋_GB2312" w:hAnsi="仿宋_GB2312" w:cs="仿宋_GB2312" w:eastAsia="仿宋_GB2312"/>
                <w:sz w:val="24"/>
              </w:rPr>
              <w:t>在合同签订后</w:t>
            </w:r>
            <w:r>
              <w:rPr>
                <w:rFonts w:ascii="仿宋_GB2312" w:hAnsi="仿宋_GB2312" w:cs="仿宋_GB2312" w:eastAsia="仿宋_GB2312"/>
                <w:sz w:val="24"/>
              </w:rPr>
              <w:t>6个月内</w:t>
            </w:r>
            <w:r>
              <w:rPr>
                <w:rFonts w:ascii="仿宋_GB2312" w:hAnsi="仿宋_GB2312" w:cs="仿宋_GB2312" w:eastAsia="仿宋_GB2312"/>
                <w:sz w:val="24"/>
              </w:rPr>
              <w:t>完成所有招标文件要求工作，并通过项目验收。</w:t>
            </w:r>
          </w:p>
          <w:p>
            <w:pPr>
              <w:pStyle w:val="null3"/>
              <w:ind w:firstLine="480"/>
              <w:jc w:val="both"/>
            </w:pPr>
            <w:r>
              <w:rPr>
                <w:rFonts w:ascii="仿宋_GB2312" w:hAnsi="仿宋_GB2312" w:cs="仿宋_GB2312" w:eastAsia="仿宋_GB2312"/>
                <w:sz w:val="24"/>
              </w:rPr>
              <w:t>工作地点：具体地点由采购人确定。</w:t>
            </w:r>
          </w:p>
          <w:p>
            <w:pPr>
              <w:pStyle w:val="null3"/>
              <w:spacing w:before="315" w:after="315"/>
              <w:jc w:val="left"/>
              <w:outlineLvl w:val="1"/>
            </w:pPr>
            <w:r>
              <w:rPr>
                <w:rFonts w:ascii="仿宋_GB2312" w:hAnsi="仿宋_GB2312" w:cs="仿宋_GB2312" w:eastAsia="仿宋_GB2312"/>
                <w:sz w:val="24"/>
                <w:b/>
              </w:rPr>
              <w:t>六、技术要求</w:t>
            </w:r>
          </w:p>
          <w:p>
            <w:pPr>
              <w:pStyle w:val="null3"/>
              <w:ind w:firstLine="480"/>
              <w:jc w:val="both"/>
            </w:pPr>
            <w:r>
              <w:rPr>
                <w:rFonts w:ascii="仿宋_GB2312" w:hAnsi="仿宋_GB2312" w:cs="仿宋_GB2312" w:eastAsia="仿宋_GB2312"/>
                <w:sz w:val="24"/>
              </w:rPr>
              <w:t>（一）采用标准和开放的技术</w:t>
            </w:r>
          </w:p>
          <w:p>
            <w:pPr>
              <w:pStyle w:val="null3"/>
              <w:ind w:firstLine="480"/>
              <w:jc w:val="both"/>
            </w:pPr>
            <w:r>
              <w:rPr>
                <w:rFonts w:ascii="仿宋_GB2312" w:hAnsi="仿宋_GB2312" w:cs="仿宋_GB2312" w:eastAsia="仿宋_GB2312"/>
                <w:sz w:val="24"/>
              </w:rPr>
              <w:t>采用相关的行业标准规范进行系统的建设，技术选型和架构设计符合主流技术标准，具有良好的开放性、兼容性、可扩展性，以降低技术风险。</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）安全防护要求</w:t>
            </w:r>
          </w:p>
          <w:p>
            <w:pPr>
              <w:pStyle w:val="null3"/>
              <w:ind w:firstLine="480"/>
              <w:jc w:val="both"/>
            </w:pPr>
            <w:r>
              <w:rPr>
                <w:rFonts w:ascii="仿宋_GB2312" w:hAnsi="仿宋_GB2312" w:cs="仿宋_GB2312" w:eastAsia="仿宋_GB2312"/>
                <w:sz w:val="24"/>
              </w:rPr>
              <w:t>陕西省国土空间规划实施</w:t>
            </w:r>
            <w:r>
              <w:rPr>
                <w:rFonts w:ascii="仿宋_GB2312" w:hAnsi="仿宋_GB2312" w:cs="仿宋_GB2312" w:eastAsia="仿宋_GB2312"/>
                <w:sz w:val="24"/>
              </w:rPr>
              <w:t>和调整监测预警体系</w:t>
            </w:r>
            <w:r>
              <w:rPr>
                <w:rFonts w:ascii="仿宋_GB2312" w:hAnsi="仿宋_GB2312" w:cs="仿宋_GB2312" w:eastAsia="仿宋_GB2312"/>
                <w:sz w:val="24"/>
              </w:rPr>
              <w:t>建设应满足信创要求。</w:t>
            </w:r>
          </w:p>
          <w:p>
            <w:pPr>
              <w:pStyle w:val="null3"/>
              <w:spacing w:before="315" w:after="315"/>
              <w:jc w:val="left"/>
              <w:outlineLvl w:val="1"/>
            </w:pPr>
            <w:r>
              <w:rPr>
                <w:rFonts w:ascii="仿宋_GB2312" w:hAnsi="仿宋_GB2312" w:cs="仿宋_GB2312" w:eastAsia="仿宋_GB2312"/>
                <w:sz w:val="24"/>
                <w:b/>
              </w:rPr>
              <w:t>七、</w:t>
            </w:r>
            <w:r>
              <w:rPr>
                <w:rFonts w:ascii="仿宋_GB2312" w:hAnsi="仿宋_GB2312" w:cs="仿宋_GB2312" w:eastAsia="仿宋_GB2312"/>
                <w:sz w:val="24"/>
                <w:b/>
              </w:rPr>
              <w:t>项目实施</w:t>
            </w:r>
            <w:r>
              <w:rPr>
                <w:rFonts w:ascii="仿宋_GB2312" w:hAnsi="仿宋_GB2312" w:cs="仿宋_GB2312" w:eastAsia="仿宋_GB2312"/>
                <w:sz w:val="24"/>
                <w:b/>
              </w:rPr>
              <w:t>要求</w:t>
            </w:r>
          </w:p>
          <w:p>
            <w:pPr>
              <w:pStyle w:val="null3"/>
              <w:ind w:firstLine="480"/>
              <w:jc w:val="both"/>
            </w:pPr>
            <w:r>
              <w:rPr>
                <w:rFonts w:ascii="仿宋_GB2312" w:hAnsi="仿宋_GB2312" w:cs="仿宋_GB2312" w:eastAsia="仿宋_GB2312"/>
                <w:sz w:val="24"/>
              </w:rPr>
              <w:t>（一）项目实施保障</w:t>
            </w:r>
          </w:p>
          <w:p>
            <w:pPr>
              <w:pStyle w:val="null3"/>
              <w:ind w:firstLine="720"/>
              <w:jc w:val="both"/>
            </w:pPr>
            <w:r>
              <w:rPr>
                <w:rFonts w:ascii="仿宋_GB2312" w:hAnsi="仿宋_GB2312" w:cs="仿宋_GB2312" w:eastAsia="仿宋_GB2312"/>
                <w:sz w:val="24"/>
              </w:rPr>
              <w:t>中标单位需为项目实施提供专业化、规范化、高品质的服务，针对项目团队组织、项目进度管理、实施过程、项目管理、质量保障等方面提出一套完整的实施方案。</w:t>
            </w:r>
          </w:p>
          <w:p>
            <w:pPr>
              <w:pStyle w:val="null3"/>
              <w:ind w:firstLine="480"/>
              <w:jc w:val="both"/>
            </w:pPr>
            <w:r>
              <w:rPr>
                <w:rFonts w:ascii="仿宋_GB2312" w:hAnsi="仿宋_GB2312" w:cs="仿宋_GB2312" w:eastAsia="仿宋_GB2312"/>
                <w:sz w:val="24"/>
              </w:rPr>
              <w:t>（二）项目成果</w:t>
            </w:r>
          </w:p>
          <w:p>
            <w:pPr>
              <w:pStyle w:val="null3"/>
              <w:ind w:firstLine="720"/>
              <w:jc w:val="both"/>
            </w:pPr>
            <w:r>
              <w:rPr>
                <w:rFonts w:ascii="仿宋_GB2312" w:hAnsi="仿宋_GB2312" w:cs="仿宋_GB2312" w:eastAsia="仿宋_GB2312"/>
                <w:sz w:val="24"/>
              </w:rPr>
              <w:t>项目成果包括但不限于以下内容：</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国土空间规划</w:t>
            </w:r>
            <w:r>
              <w:rPr>
                <w:rFonts w:ascii="仿宋_GB2312" w:hAnsi="仿宋_GB2312" w:cs="仿宋_GB2312" w:eastAsia="仿宋_GB2312"/>
                <w:sz w:val="24"/>
              </w:rPr>
              <w:t>实施监测与分析评价</w:t>
            </w:r>
            <w:r>
              <w:rPr>
                <w:rFonts w:ascii="仿宋_GB2312" w:hAnsi="仿宋_GB2312" w:cs="仿宋_GB2312" w:eastAsia="仿宋_GB2312"/>
                <w:sz w:val="24"/>
              </w:rPr>
              <w:t>数据库一套；</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项目实施过程中产生的各类</w:t>
            </w:r>
            <w:r>
              <w:rPr>
                <w:rFonts w:ascii="仿宋_GB2312" w:hAnsi="仿宋_GB2312" w:cs="仿宋_GB2312" w:eastAsia="仿宋_GB2312"/>
                <w:sz w:val="24"/>
              </w:rPr>
              <w:t>规范</w:t>
            </w:r>
            <w:r>
              <w:rPr>
                <w:rFonts w:ascii="仿宋_GB2312" w:hAnsi="仿宋_GB2312" w:cs="仿宋_GB2312" w:eastAsia="仿宋_GB2312"/>
                <w:sz w:val="24"/>
              </w:rPr>
              <w:t>文档</w:t>
            </w:r>
            <w:r>
              <w:rPr>
                <w:rFonts w:ascii="仿宋_GB2312" w:hAnsi="仿宋_GB2312" w:cs="仿宋_GB2312" w:eastAsia="仿宋_GB2312"/>
                <w:sz w:val="24"/>
              </w:rPr>
              <w:t>，主要包括各类技术标准规范；</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系统开发及项目实施</w:t>
            </w:r>
            <w:r>
              <w:rPr>
                <w:rFonts w:ascii="仿宋_GB2312" w:hAnsi="仿宋_GB2312" w:cs="仿宋_GB2312" w:eastAsia="仿宋_GB2312"/>
                <w:sz w:val="24"/>
              </w:rPr>
              <w:t>中产生的</w:t>
            </w:r>
            <w:r>
              <w:rPr>
                <w:rFonts w:ascii="仿宋_GB2312" w:hAnsi="仿宋_GB2312" w:cs="仿宋_GB2312" w:eastAsia="仿宋_GB2312"/>
                <w:sz w:val="24"/>
              </w:rPr>
              <w:t>相关文档，包括但不限于需求规格说明书、总体设计和用户操作使用说明书</w:t>
            </w:r>
            <w:r>
              <w:rPr>
                <w:rFonts w:ascii="仿宋_GB2312" w:hAnsi="仿宋_GB2312" w:cs="仿宋_GB2312" w:eastAsia="仿宋_GB2312"/>
                <w:sz w:val="24"/>
              </w:rPr>
              <w:t>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（三）验收与交付</w:t>
            </w:r>
          </w:p>
          <w:p>
            <w:pPr>
              <w:pStyle w:val="null3"/>
              <w:ind w:firstLine="480"/>
              <w:jc w:val="both"/>
            </w:pPr>
            <w:r>
              <w:rPr>
                <w:rFonts w:ascii="仿宋_GB2312" w:hAnsi="仿宋_GB2312" w:cs="仿宋_GB2312" w:eastAsia="仿宋_GB2312"/>
                <w:sz w:val="24"/>
              </w:rPr>
              <w:t>1.验收主体：采购人、中标人、采购人组织的专家</w:t>
            </w:r>
          </w:p>
          <w:p>
            <w:pPr>
              <w:pStyle w:val="null3"/>
              <w:ind w:firstLine="480"/>
              <w:jc w:val="both"/>
            </w:pPr>
            <w:r>
              <w:rPr>
                <w:rFonts w:ascii="仿宋_GB2312" w:hAnsi="仿宋_GB2312" w:cs="仿宋_GB2312" w:eastAsia="仿宋_GB2312"/>
                <w:sz w:val="24"/>
              </w:rPr>
              <w:t>2.验收条件：满足以下条件，中标单位方可向采购方提出系统验收申请，开展验收工作：</w:t>
            </w:r>
          </w:p>
          <w:p>
            <w:pPr>
              <w:pStyle w:val="null3"/>
              <w:ind w:firstLine="480"/>
              <w:jc w:val="both"/>
            </w:pPr>
            <w:r>
              <w:rPr>
                <w:rFonts w:ascii="仿宋_GB2312" w:hAnsi="仿宋_GB2312" w:cs="仿宋_GB2312" w:eastAsia="仿宋_GB2312"/>
                <w:sz w:val="24"/>
              </w:rPr>
              <w:t>1）完成项目要求的完全建设内容后；</w:t>
            </w:r>
          </w:p>
          <w:p>
            <w:pPr>
              <w:pStyle w:val="null3"/>
              <w:ind w:firstLine="480"/>
              <w:jc w:val="both"/>
            </w:pPr>
            <w:r>
              <w:rPr>
                <w:rFonts w:ascii="仿宋_GB2312" w:hAnsi="仿宋_GB2312" w:cs="仿宋_GB2312" w:eastAsia="仿宋_GB2312"/>
                <w:sz w:val="24"/>
              </w:rPr>
              <w:t>2）系统上线经试运行后无重大事故发生。</w:t>
            </w:r>
          </w:p>
          <w:p>
            <w:pPr>
              <w:pStyle w:val="null3"/>
              <w:ind w:firstLine="480"/>
              <w:jc w:val="both"/>
            </w:pPr>
            <w:r>
              <w:rPr>
                <w:rFonts w:ascii="仿宋_GB2312" w:hAnsi="仿宋_GB2312" w:cs="仿宋_GB2312" w:eastAsia="仿宋_GB2312"/>
                <w:sz w:val="24"/>
              </w:rPr>
              <w:t>3）提交全面成果资料，包括全部相关文档、代码等交付物。</w:t>
            </w:r>
          </w:p>
          <w:p>
            <w:pPr>
              <w:pStyle w:val="null3"/>
              <w:ind w:firstLine="480"/>
              <w:jc w:val="both"/>
            </w:pPr>
            <w:r>
              <w:rPr>
                <w:rFonts w:ascii="仿宋_GB2312" w:hAnsi="仿宋_GB2312" w:cs="仿宋_GB2312" w:eastAsia="仿宋_GB2312"/>
                <w:sz w:val="24"/>
              </w:rPr>
              <w:t>3.交付形式：纸质文件、电子文件或采购人要求的其他形式。</w:t>
            </w:r>
          </w:p>
          <w:p>
            <w:pPr>
              <w:pStyle w:val="null3"/>
              <w:ind w:firstLine="480"/>
              <w:jc w:val="both"/>
            </w:pPr>
            <w:r>
              <w:rPr>
                <w:rFonts w:ascii="仿宋_GB2312" w:hAnsi="仿宋_GB2312" w:cs="仿宋_GB2312" w:eastAsia="仿宋_GB2312"/>
                <w:sz w:val="24"/>
              </w:rPr>
              <w:t>4.验收程序：中标人应当在符合验收条件后，按照采购人要求的成果形式、数量和时间向采购人交付项目成果并书面提请采购人验收，采购人应在7个工作日内组织专家验收，10个工作日内完成验收并出具验收证明，逾期组织或完成验收的或不出具验收证明的，视为验收合格。</w:t>
            </w:r>
          </w:p>
          <w:p>
            <w:pPr>
              <w:pStyle w:val="null3"/>
              <w:ind w:firstLine="480"/>
              <w:jc w:val="both"/>
            </w:pPr>
            <w:r>
              <w:rPr>
                <w:rFonts w:ascii="仿宋_GB2312" w:hAnsi="仿宋_GB2312" w:cs="仿宋_GB2312" w:eastAsia="仿宋_GB2312"/>
                <w:sz w:val="24"/>
              </w:rPr>
              <w:t>5.验收标准：</w:t>
            </w:r>
          </w:p>
          <w:p>
            <w:pPr>
              <w:pStyle w:val="null3"/>
              <w:ind w:firstLine="480"/>
              <w:jc w:val="both"/>
            </w:pPr>
            <w:r>
              <w:rPr>
                <w:rFonts w:ascii="仿宋_GB2312" w:hAnsi="仿宋_GB2312" w:cs="仿宋_GB2312" w:eastAsia="仿宋_GB2312"/>
                <w:sz w:val="24"/>
              </w:rPr>
              <w:t>1）符合中华人民共和国国家和履约地相关安全质量标准、行业技术规范标准；</w:t>
            </w:r>
          </w:p>
          <w:p>
            <w:pPr>
              <w:pStyle w:val="null3"/>
              <w:ind w:firstLine="480"/>
              <w:jc w:val="both"/>
            </w:pPr>
            <w:r>
              <w:rPr>
                <w:rFonts w:ascii="仿宋_GB2312" w:hAnsi="仿宋_GB2312" w:cs="仿宋_GB2312" w:eastAsia="仿宋_GB2312"/>
                <w:sz w:val="24"/>
              </w:rPr>
              <w:t>2）符合本项目采购文件要求和中标人应标文件承诺的相应标准；</w:t>
            </w:r>
          </w:p>
          <w:p>
            <w:pPr>
              <w:pStyle w:val="null3"/>
              <w:ind w:firstLine="480"/>
              <w:jc w:val="both"/>
            </w:pPr>
            <w:r>
              <w:rPr>
                <w:rFonts w:ascii="仿宋_GB2312" w:hAnsi="仿宋_GB2312" w:cs="仿宋_GB2312" w:eastAsia="仿宋_GB2312"/>
                <w:sz w:val="24"/>
              </w:rPr>
              <w:t>3）双方在本项目实施过程中约定的其他相关技术要求。</w:t>
            </w:r>
          </w:p>
          <w:p>
            <w:pPr>
              <w:pStyle w:val="null3"/>
              <w:ind w:firstLine="480"/>
              <w:jc w:val="both"/>
            </w:pPr>
            <w:r>
              <w:rPr>
                <w:rFonts w:ascii="仿宋_GB2312" w:hAnsi="仿宋_GB2312" w:cs="仿宋_GB2312" w:eastAsia="仿宋_GB2312"/>
                <w:sz w:val="24"/>
              </w:rPr>
              <w:t>（四）保密要求</w:t>
            </w:r>
          </w:p>
          <w:p>
            <w:pPr>
              <w:pStyle w:val="null3"/>
              <w:ind w:firstLine="480"/>
              <w:jc w:val="both"/>
            </w:pPr>
            <w:r>
              <w:rPr>
                <w:rFonts w:ascii="仿宋_GB2312" w:hAnsi="仿宋_GB2312" w:cs="仿宋_GB2312" w:eastAsia="仿宋_GB2312"/>
                <w:sz w:val="24"/>
              </w:rPr>
              <w:t>1.采购人为履行本合同而提供给中标人的任何信息，以及中标人在履行合同过程中所知悉的采购人的信息，包括本合同的内容，均视为保密信息处理。中标人保证应确保该等保密信息免受公开，不向任何第三方公开该等保密信息，因中标人泄露或者不正当使用该等保密信息而给采购人造成损失的，中标人应当承担相应法律责任并赔偿采购人的所有损失。</w:t>
            </w:r>
          </w:p>
          <w:p>
            <w:pPr>
              <w:pStyle w:val="null3"/>
              <w:ind w:firstLine="480"/>
              <w:jc w:val="both"/>
            </w:pPr>
            <w:r>
              <w:rPr>
                <w:rFonts w:ascii="仿宋_GB2312" w:hAnsi="仿宋_GB2312" w:cs="仿宋_GB2312" w:eastAsia="仿宋_GB2312"/>
                <w:sz w:val="24"/>
              </w:rPr>
              <w:t>2.中标人对于保密信息的保密义务应延续至该等信息因合法的原因而成为公开信息或采购人书面许可准予公开。</w:t>
            </w:r>
          </w:p>
          <w:p>
            <w:pPr>
              <w:pStyle w:val="null3"/>
              <w:ind w:firstLine="480"/>
              <w:jc w:val="both"/>
            </w:pPr>
            <w:r>
              <w:rPr>
                <w:rFonts w:ascii="仿宋_GB2312" w:hAnsi="仿宋_GB2312" w:cs="仿宋_GB2312" w:eastAsia="仿宋_GB2312"/>
                <w:sz w:val="24"/>
              </w:rPr>
              <w:t>3.上述保密规定不应当适用于以下信息：收到信息的一方有书面记录可以证明其在披露方向其披露该等信息之前已经知晓该信息；收到信息的一方没有违反本合同的保密义务即从其他渠道获得的公开信息；或者收到信息的一方从对该等信息不负有保密义务的第三方获得的信息。</w:t>
            </w:r>
          </w:p>
          <w:p>
            <w:pPr>
              <w:pStyle w:val="null3"/>
              <w:ind w:firstLine="480"/>
              <w:jc w:val="both"/>
            </w:pPr>
            <w:r>
              <w:rPr>
                <w:rFonts w:ascii="仿宋_GB2312" w:hAnsi="仿宋_GB2312" w:cs="仿宋_GB2312" w:eastAsia="仿宋_GB2312"/>
                <w:sz w:val="24"/>
              </w:rPr>
              <w:t>（五）性能要求</w:t>
            </w:r>
          </w:p>
          <w:p>
            <w:pPr>
              <w:pStyle w:val="null3"/>
              <w:ind w:firstLine="720"/>
              <w:jc w:val="both"/>
            </w:pPr>
            <w:r>
              <w:rPr>
                <w:rFonts w:ascii="仿宋_GB2312" w:hAnsi="仿宋_GB2312" w:cs="仿宋_GB2312" w:eastAsia="仿宋_GB2312"/>
                <w:sz w:val="24"/>
              </w:rPr>
              <w:t>系统性能要求主要体现在运行效率要求、响应速度要求、对差错的负荷能力要求等方面，系统软件设计和开发必须充分考虑并满足这些方面的性能要求。</w:t>
            </w:r>
          </w:p>
          <w:p>
            <w:pPr>
              <w:pStyle w:val="null3"/>
              <w:ind w:firstLine="720"/>
              <w:jc w:val="both"/>
            </w:pPr>
            <w:r>
              <w:rPr>
                <w:rFonts w:ascii="仿宋_GB2312" w:hAnsi="仿宋_GB2312" w:cs="仿宋_GB2312" w:eastAsia="仿宋_GB2312"/>
                <w:sz w:val="24"/>
              </w:rPr>
              <w:t>具体性能指标要求如下：</w:t>
            </w:r>
          </w:p>
          <w:p>
            <w:pPr>
              <w:pStyle w:val="null3"/>
              <w:ind w:firstLine="720"/>
              <w:jc w:val="both"/>
            </w:pPr>
            <w:r>
              <w:rPr>
                <w:rFonts w:ascii="仿宋_GB2312" w:hAnsi="仿宋_GB2312" w:cs="仿宋_GB2312" w:eastAsia="仿宋_GB2312"/>
                <w:sz w:val="24"/>
              </w:rPr>
              <w:t>1.可靠性。具备7x24小时不间断稳定运行能力。</w:t>
            </w:r>
          </w:p>
          <w:p>
            <w:pPr>
              <w:pStyle w:val="null3"/>
              <w:ind w:firstLine="720"/>
              <w:jc w:val="both"/>
            </w:pPr>
            <w:r>
              <w:rPr>
                <w:rFonts w:ascii="仿宋_GB2312" w:hAnsi="仿宋_GB2312" w:cs="仿宋_GB2312" w:eastAsia="仿宋_GB2312"/>
                <w:sz w:val="24"/>
              </w:rPr>
              <w:t>2.数据容量。数据存储和管理能力达</w:t>
            </w:r>
            <w:r>
              <w:rPr>
                <w:rFonts w:ascii="仿宋_GB2312" w:hAnsi="仿宋_GB2312" w:cs="仿宋_GB2312" w:eastAsia="仿宋_GB2312"/>
                <w:sz w:val="24"/>
              </w:rPr>
              <w:t>T</w:t>
            </w:r>
            <w:r>
              <w:rPr>
                <w:rFonts w:ascii="仿宋_GB2312" w:hAnsi="仿宋_GB2312" w:cs="仿宋_GB2312" w:eastAsia="仿宋_GB2312"/>
                <w:sz w:val="24"/>
              </w:rPr>
              <w:t>B以上。</w:t>
            </w:r>
          </w:p>
          <w:p>
            <w:pPr>
              <w:pStyle w:val="null3"/>
              <w:ind w:firstLine="720"/>
              <w:jc w:val="both"/>
            </w:pPr>
            <w:r>
              <w:rPr>
                <w:rFonts w:ascii="仿宋_GB2312" w:hAnsi="仿宋_GB2312" w:cs="仿宋_GB2312" w:eastAsia="仿宋_GB2312"/>
                <w:sz w:val="24"/>
              </w:rPr>
              <w:t>3.并发性。系统能满足200个以上用户同时在线、同时使用。</w:t>
            </w:r>
          </w:p>
          <w:p>
            <w:pPr>
              <w:pStyle w:val="null3"/>
              <w:ind w:firstLine="720"/>
              <w:jc w:val="both"/>
            </w:pPr>
            <w:r>
              <w:rPr>
                <w:rFonts w:ascii="仿宋_GB2312" w:hAnsi="仿宋_GB2312" w:cs="仿宋_GB2312" w:eastAsia="仿宋_GB2312"/>
                <w:sz w:val="24"/>
              </w:rPr>
              <w:t>4.系统响应速度。在最大并发访问情况下，在全省范围内系统数据查询平均响应时间≤3秒，数据浏览响应时间≤3秒。</w:t>
            </w:r>
          </w:p>
          <w:p>
            <w:pPr>
              <w:pStyle w:val="null3"/>
              <w:ind w:firstLine="720"/>
              <w:jc w:val="both"/>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时间同步。所有服务器系统时间与标准时间实现同步。</w:t>
            </w:r>
          </w:p>
          <w:p>
            <w:pPr>
              <w:pStyle w:val="null3"/>
              <w:ind w:firstLine="720"/>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灵活性。支持业务扩展及流程变更需求，支持</w:t>
            </w:r>
            <w:r>
              <w:rPr>
                <w:rFonts w:ascii="仿宋_GB2312" w:hAnsi="仿宋_GB2312" w:cs="仿宋_GB2312" w:eastAsia="仿宋_GB2312"/>
                <w:sz w:val="24"/>
              </w:rPr>
              <w:t>XML</w:t>
            </w:r>
            <w:r>
              <w:rPr>
                <w:rFonts w:ascii="仿宋_GB2312" w:hAnsi="仿宋_GB2312" w:cs="仿宋_GB2312" w:eastAsia="仿宋_GB2312"/>
                <w:sz w:val="24"/>
              </w:rPr>
              <w:t>接口。</w:t>
            </w:r>
          </w:p>
          <w:p>
            <w:pPr>
              <w:pStyle w:val="null3"/>
              <w:ind w:firstLine="720"/>
              <w:jc w:val="both"/>
            </w:pPr>
            <w:r>
              <w:rPr>
                <w:rFonts w:ascii="仿宋_GB2312" w:hAnsi="仿宋_GB2312" w:cs="仿宋_GB2312" w:eastAsia="仿宋_GB2312"/>
                <w:sz w:val="24"/>
              </w:rPr>
              <w:t>7.易用性。操作简捷、界面友好。</w:t>
            </w:r>
          </w:p>
          <w:p>
            <w:pPr>
              <w:pStyle w:val="null3"/>
              <w:ind w:firstLine="480"/>
              <w:jc w:val="both"/>
            </w:pPr>
            <w:r>
              <w:rPr>
                <w:rFonts w:ascii="仿宋_GB2312" w:hAnsi="仿宋_GB2312" w:cs="仿宋_GB2312" w:eastAsia="仿宋_GB2312"/>
                <w:sz w:val="24"/>
              </w:rPr>
              <w:t>（六）安全要求</w:t>
            </w:r>
          </w:p>
          <w:p>
            <w:pPr>
              <w:pStyle w:val="null3"/>
              <w:ind w:firstLine="720"/>
              <w:jc w:val="both"/>
            </w:pPr>
            <w:r>
              <w:rPr>
                <w:rFonts w:ascii="仿宋_GB2312" w:hAnsi="仿宋_GB2312" w:cs="仿宋_GB2312" w:eastAsia="仿宋_GB2312"/>
                <w:sz w:val="24"/>
              </w:rPr>
              <w:t>1.数据安全</w:t>
            </w:r>
          </w:p>
          <w:p>
            <w:pPr>
              <w:pStyle w:val="null3"/>
              <w:ind w:firstLine="720"/>
              <w:jc w:val="both"/>
            </w:pPr>
            <w:r>
              <w:rPr>
                <w:rFonts w:ascii="仿宋_GB2312" w:hAnsi="仿宋_GB2312" w:cs="仿宋_GB2312" w:eastAsia="仿宋_GB2312"/>
                <w:sz w:val="24"/>
              </w:rPr>
              <w:t>系统涉及大量业务审批和空间矢量数据，安全性要求较高，需针对系统软硬件故障或人为因素可能造成的破坏，建立完善的备份机制和恢复机制，要有完善的安全策略和管理机制。</w:t>
            </w:r>
          </w:p>
          <w:p>
            <w:pPr>
              <w:pStyle w:val="null3"/>
              <w:ind w:firstLine="720"/>
              <w:jc w:val="both"/>
            </w:pPr>
            <w:r>
              <w:rPr>
                <w:rFonts w:ascii="仿宋_GB2312" w:hAnsi="仿宋_GB2312" w:cs="仿宋_GB2312" w:eastAsia="仿宋_GB2312"/>
                <w:sz w:val="24"/>
              </w:rPr>
              <w:t>2.系统和网络安全</w:t>
            </w:r>
          </w:p>
          <w:p>
            <w:pPr>
              <w:pStyle w:val="null3"/>
              <w:ind w:left="1440"/>
            </w:pPr>
            <w:r>
              <w:rPr>
                <w:rFonts w:ascii="仿宋_GB2312" w:hAnsi="仿宋_GB2312" w:cs="仿宋_GB2312" w:eastAsia="仿宋_GB2312"/>
                <w:sz w:val="24"/>
              </w:rPr>
              <w:t>n</w:t>
            </w:r>
            <w:r>
              <w:rPr>
                <w:rFonts w:ascii="仿宋_GB2312" w:hAnsi="仿宋_GB2312" w:cs="仿宋_GB2312" w:eastAsia="仿宋_GB2312"/>
                <w:sz w:val="24"/>
              </w:rPr>
              <w:t>系统开发必须符合国家、省级部门关于安全管理的规定，遵守数据保密要求，正确处理好数据的涉密性、连续性、完整性等问题，确保物理安全、网络安全、系统安全。</w:t>
            </w:r>
          </w:p>
          <w:p>
            <w:pPr>
              <w:pStyle w:val="null3"/>
              <w:ind w:left="1440"/>
            </w:pPr>
            <w:r>
              <w:rPr>
                <w:rFonts w:ascii="仿宋_GB2312" w:hAnsi="仿宋_GB2312" w:cs="仿宋_GB2312" w:eastAsia="仿宋_GB2312"/>
                <w:sz w:val="24"/>
              </w:rPr>
              <w:t>n</w:t>
            </w:r>
            <w:r>
              <w:rPr>
                <w:rFonts w:ascii="仿宋_GB2312" w:hAnsi="仿宋_GB2312" w:cs="仿宋_GB2312" w:eastAsia="仿宋_GB2312"/>
                <w:sz w:val="24"/>
              </w:rPr>
              <w:t>有严格的用户和使用权限要求。</w:t>
            </w:r>
          </w:p>
          <w:p>
            <w:pPr>
              <w:pStyle w:val="null3"/>
              <w:ind w:left="1440"/>
            </w:pPr>
            <w:r>
              <w:rPr>
                <w:rFonts w:ascii="仿宋_GB2312" w:hAnsi="仿宋_GB2312" w:cs="仿宋_GB2312" w:eastAsia="仿宋_GB2312"/>
                <w:sz w:val="24"/>
              </w:rPr>
              <w:t>n</w:t>
            </w:r>
            <w:r>
              <w:rPr>
                <w:rFonts w:ascii="仿宋_GB2312" w:hAnsi="仿宋_GB2312" w:cs="仿宋_GB2312" w:eastAsia="仿宋_GB2312"/>
                <w:sz w:val="24"/>
              </w:rPr>
              <w:t>建立定期备份机制，系统应具备相应的备份与恢复功能，要求保持系统数据最新，并保证能够快速有效地恢复数据。</w:t>
            </w:r>
          </w:p>
          <w:p>
            <w:pPr>
              <w:pStyle w:val="null3"/>
              <w:ind w:left="1440"/>
            </w:pPr>
            <w:r>
              <w:rPr>
                <w:rFonts w:ascii="仿宋_GB2312" w:hAnsi="仿宋_GB2312" w:cs="仿宋_GB2312" w:eastAsia="仿宋_GB2312"/>
                <w:sz w:val="24"/>
              </w:rPr>
              <w:t>n</w:t>
            </w:r>
            <w:r>
              <w:rPr>
                <w:rFonts w:ascii="仿宋_GB2312" w:hAnsi="仿宋_GB2312" w:cs="仿宋_GB2312" w:eastAsia="仿宋_GB2312"/>
                <w:sz w:val="24"/>
              </w:rPr>
              <w:t>具备完备的日志功能。</w:t>
            </w:r>
          </w:p>
          <w:p>
            <w:pPr>
              <w:pStyle w:val="null3"/>
              <w:ind w:firstLine="480"/>
              <w:jc w:val="both"/>
            </w:pPr>
            <w:r>
              <w:rPr>
                <w:rFonts w:ascii="仿宋_GB2312" w:hAnsi="仿宋_GB2312" w:cs="仿宋_GB2312" w:eastAsia="仿宋_GB2312"/>
                <w:sz w:val="24"/>
              </w:rPr>
              <w:t>（七）售后服务要求</w:t>
            </w:r>
          </w:p>
          <w:p>
            <w:pPr>
              <w:pStyle w:val="null3"/>
              <w:ind w:firstLine="720"/>
              <w:jc w:val="both"/>
            </w:pPr>
            <w:r>
              <w:rPr>
                <w:rFonts w:ascii="仿宋_GB2312" w:hAnsi="仿宋_GB2312" w:cs="仿宋_GB2312" w:eastAsia="仿宋_GB2312"/>
                <w:sz w:val="24"/>
              </w:rPr>
              <w:t>1.售后服务期限。验收后提供1年的软件免费维护和技术支持服务。</w:t>
            </w:r>
          </w:p>
          <w:p>
            <w:pPr>
              <w:pStyle w:val="null3"/>
              <w:ind w:firstLine="720"/>
              <w:jc w:val="both"/>
            </w:pPr>
            <w:r>
              <w:rPr>
                <w:rFonts w:ascii="仿宋_GB2312" w:hAnsi="仿宋_GB2312" w:cs="仿宋_GB2312" w:eastAsia="仿宋_GB2312"/>
                <w:sz w:val="24"/>
              </w:rPr>
              <w:t>2</w:t>
            </w:r>
            <w:r>
              <w:rPr>
                <w:rFonts w:ascii="仿宋_GB2312" w:hAnsi="仿宋_GB2312" w:cs="仿宋_GB2312" w:eastAsia="仿宋_GB2312"/>
                <w:sz w:val="24"/>
              </w:rPr>
              <w:t>.售后服务响应。在1年免费服务期内，提供24小时运维服务；对于影响平台正常运行的故障修复时间不超过12小时；重大问题应立即启动应急预案，保障平台正常使用，并尽快修复问题。</w:t>
            </w:r>
          </w:p>
          <w:p>
            <w:pPr>
              <w:pStyle w:val="null3"/>
              <w:ind w:firstLine="720"/>
              <w:jc w:val="both"/>
            </w:pPr>
            <w:r>
              <w:rPr>
                <w:rFonts w:ascii="仿宋_GB2312" w:hAnsi="仿宋_GB2312" w:cs="仿宋_GB2312" w:eastAsia="仿宋_GB2312"/>
                <w:sz w:val="24"/>
              </w:rPr>
              <w:t>3.售后服务人员。安排参与本项目实施、并对本项目熟悉的人员负责本项目的运维工作。</w:t>
            </w:r>
          </w:p>
          <w:p>
            <w:pPr>
              <w:pStyle w:val="null3"/>
              <w:ind w:firstLine="480"/>
              <w:jc w:val="both"/>
            </w:pPr>
            <w:r>
              <w:rPr>
                <w:rFonts w:ascii="仿宋_GB2312" w:hAnsi="仿宋_GB2312" w:cs="仿宋_GB2312" w:eastAsia="仿宋_GB2312"/>
                <w:sz w:val="24"/>
              </w:rPr>
              <w:t>（八）培训要求</w:t>
            </w:r>
          </w:p>
          <w:p>
            <w:pPr>
              <w:pStyle w:val="null3"/>
              <w:ind w:firstLine="480"/>
              <w:jc w:val="both"/>
            </w:pPr>
            <w:r>
              <w:rPr>
                <w:rFonts w:ascii="仿宋_GB2312" w:hAnsi="仿宋_GB2312" w:cs="仿宋_GB2312" w:eastAsia="仿宋_GB2312"/>
                <w:sz w:val="24"/>
              </w:rPr>
              <w:t>1.系统验收合格之日起一月内，投标人需对采购方的相关人员进行免费培训，培训内容包括但不限于软件使用、软件运维、软件架构、软件设计等。</w:t>
            </w:r>
          </w:p>
          <w:p>
            <w:pPr>
              <w:pStyle w:val="null3"/>
              <w:ind w:firstLine="480"/>
              <w:jc w:val="both"/>
            </w:pPr>
            <w:r>
              <w:rPr>
                <w:rFonts w:ascii="仿宋_GB2312" w:hAnsi="仿宋_GB2312" w:cs="仿宋_GB2312" w:eastAsia="仿宋_GB2312"/>
                <w:sz w:val="24"/>
              </w:rPr>
              <w:t>2.投标人负责组织面向系统开发和管理员、各级领导、系统操作人员的培训，并根据不同群体提供系统化、定制化和有针对性的培训。</w:t>
            </w:r>
          </w:p>
          <w:p>
            <w:pPr>
              <w:pStyle w:val="null3"/>
              <w:ind w:firstLine="480"/>
              <w:jc w:val="both"/>
            </w:pPr>
            <w:r>
              <w:rPr>
                <w:rFonts w:ascii="仿宋_GB2312" w:hAnsi="仿宋_GB2312" w:cs="仿宋_GB2312" w:eastAsia="仿宋_GB2312"/>
                <w:sz w:val="24"/>
              </w:rPr>
              <w:t>3.投标人需制定并提供培训方案，作为培训的基础资料，培训方案中至少包含培训对象、培训方式、培训内容、培训计划等内容。</w:t>
            </w:r>
          </w:p>
          <w:p>
            <w:pPr>
              <w:pStyle w:val="null3"/>
              <w:ind w:firstLine="480"/>
              <w:jc w:val="both"/>
            </w:pPr>
            <w:r>
              <w:rPr>
                <w:rFonts w:ascii="仿宋_GB2312" w:hAnsi="仿宋_GB2312" w:cs="仿宋_GB2312" w:eastAsia="仿宋_GB2312"/>
                <w:sz w:val="24"/>
              </w:rPr>
              <w:t>4.培训目标。通过培训，使受培训人员能独立掌握系统的应用、系统的配置、故障诊断、维护管理等技术，使之能适应系统正常运行的需求。</w:t>
            </w:r>
          </w:p>
          <w:p>
            <w:pPr>
              <w:pStyle w:val="null3"/>
              <w:ind w:firstLine="480"/>
              <w:jc w:val="both"/>
            </w:pPr>
            <w:r>
              <w:rPr>
                <w:rFonts w:ascii="仿宋_GB2312" w:hAnsi="仿宋_GB2312" w:cs="仿宋_GB2312" w:eastAsia="仿宋_GB2312"/>
                <w:sz w:val="24"/>
              </w:rPr>
              <w:t>5.培训地点。具体地点由采购人确定。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九</w:t>
            </w:r>
            <w:r>
              <w:rPr>
                <w:rFonts w:ascii="仿宋_GB2312" w:hAnsi="仿宋_GB2312" w:cs="仿宋_GB2312" w:eastAsia="仿宋_GB2312"/>
                <w:sz w:val="24"/>
              </w:rPr>
              <w:t>）</w:t>
            </w:r>
            <w:r>
              <w:rPr>
                <w:rFonts w:ascii="仿宋_GB2312" w:hAnsi="仿宋_GB2312" w:cs="仿宋_GB2312" w:eastAsia="仿宋_GB2312"/>
                <w:sz w:val="24"/>
              </w:rPr>
              <w:t>质量保障要求</w:t>
            </w:r>
          </w:p>
          <w:p>
            <w:pPr>
              <w:pStyle w:val="null3"/>
              <w:ind w:firstLine="480"/>
              <w:jc w:val="both"/>
            </w:pPr>
            <w:r>
              <w:rPr>
                <w:rFonts w:ascii="仿宋_GB2312" w:hAnsi="仿宋_GB2312" w:cs="仿宋_GB2312" w:eastAsia="仿宋_GB2312"/>
                <w:sz w:val="24"/>
              </w:rPr>
              <w:t>本项目要求制定一套质量保证方案，确保项目成果具有足够的质量水平。</w:t>
            </w:r>
          </w:p>
          <w:p>
            <w:pPr>
              <w:pStyle w:val="null3"/>
              <w:ind w:firstLine="480"/>
              <w:jc w:val="both"/>
            </w:pPr>
            <w:r>
              <w:rPr>
                <w:rFonts w:ascii="仿宋_GB2312" w:hAnsi="仿宋_GB2312" w:cs="仿宋_GB2312" w:eastAsia="仿宋_GB2312"/>
                <w:sz w:val="24"/>
              </w:rPr>
              <w:t>1.建立健全的质量管理体系，建立质量管理目标，严格按照要求管理各个工作环节；</w:t>
            </w:r>
          </w:p>
          <w:p>
            <w:pPr>
              <w:pStyle w:val="null3"/>
              <w:ind w:firstLine="480"/>
              <w:jc w:val="both"/>
            </w:pPr>
            <w:r>
              <w:rPr>
                <w:rFonts w:ascii="仿宋_GB2312" w:hAnsi="仿宋_GB2312" w:cs="仿宋_GB2312" w:eastAsia="仿宋_GB2312"/>
                <w:sz w:val="24"/>
              </w:rPr>
              <w:t>2.建立质量保障组织架构，质量管理团队进行质量把控;</w:t>
            </w:r>
          </w:p>
          <w:p>
            <w:pPr>
              <w:pStyle w:val="null3"/>
              <w:ind w:firstLine="480"/>
              <w:jc w:val="both"/>
            </w:pPr>
            <w:r>
              <w:rPr>
                <w:rFonts w:ascii="仿宋_GB2312" w:hAnsi="仿宋_GB2312" w:cs="仿宋_GB2312" w:eastAsia="仿宋_GB2312"/>
                <w:sz w:val="24"/>
              </w:rPr>
              <w:t>3.建立质量控制措施，对影响关键质量的环节及阶段工作成果进行及时有效的检查。</w:t>
            </w:r>
          </w:p>
          <w:p>
            <w:pPr>
              <w:pStyle w:val="null3"/>
              <w:ind w:firstLine="480"/>
              <w:jc w:val="both"/>
            </w:pPr>
            <w:r>
              <w:rPr>
                <w:rFonts w:ascii="仿宋_GB2312" w:hAnsi="仿宋_GB2312" w:cs="仿宋_GB2312" w:eastAsia="仿宋_GB2312"/>
                <w:sz w:val="24"/>
              </w:rPr>
              <w:t>投标人应制定质量保障措施，至少包含</w:t>
            </w:r>
            <w:r>
              <w:rPr>
                <w:rFonts w:ascii="仿宋_GB2312" w:hAnsi="仿宋_GB2312" w:cs="仿宋_GB2312" w:eastAsia="仿宋_GB2312"/>
                <w:sz w:val="24"/>
              </w:rPr>
              <w:t>1)质量管理机构及质量管理制度；2)质量保障方案。要求质量管理机构组织合理、稳定，质量管理制度全面、完善，质量保障方案科学、详实，能够严格控制项目质量。</w:t>
            </w:r>
          </w:p>
          <w:p>
            <w:pPr>
              <w:pStyle w:val="null3"/>
              <w:ind w:firstLine="480"/>
              <w:jc w:val="both"/>
            </w:pPr>
            <w:r>
              <w:rPr>
                <w:rFonts w:ascii="仿宋_GB2312" w:hAnsi="仿宋_GB2312" w:cs="仿宋_GB2312" w:eastAsia="仿宋_GB2312"/>
                <w:sz w:val="24"/>
              </w:rPr>
              <w:t>（十）</w:t>
            </w:r>
            <w:r>
              <w:rPr>
                <w:rFonts w:ascii="仿宋_GB2312" w:hAnsi="仿宋_GB2312" w:cs="仿宋_GB2312" w:eastAsia="仿宋_GB2312"/>
                <w:sz w:val="24"/>
              </w:rPr>
              <w:t>服务团队要求</w:t>
            </w:r>
          </w:p>
          <w:p>
            <w:pPr>
              <w:pStyle w:val="null3"/>
              <w:ind w:firstLine="480"/>
              <w:jc w:val="both"/>
            </w:pPr>
            <w:r>
              <w:rPr>
                <w:rFonts w:ascii="仿宋_GB2312" w:hAnsi="仿宋_GB2312" w:cs="仿宋_GB2312" w:eastAsia="仿宋_GB2312"/>
                <w:sz w:val="24"/>
              </w:rPr>
              <w:t>1.针对建设内容可以提供良好实施和保障服务，提供不少于</w:t>
            </w:r>
            <w:r>
              <w:rPr>
                <w:rFonts w:ascii="仿宋_GB2312" w:hAnsi="仿宋_GB2312" w:cs="仿宋_GB2312" w:eastAsia="仿宋_GB2312"/>
                <w:sz w:val="24"/>
              </w:rPr>
              <w:t>4</w:t>
            </w:r>
            <w:r>
              <w:rPr>
                <w:rFonts w:ascii="仿宋_GB2312" w:hAnsi="仿宋_GB2312" w:cs="仿宋_GB2312" w:eastAsia="仿宋_GB2312"/>
                <w:sz w:val="24"/>
              </w:rPr>
              <w:t>人的固定人员驻场技术服务。</w:t>
            </w:r>
          </w:p>
          <w:p>
            <w:pPr>
              <w:pStyle w:val="null3"/>
              <w:ind w:firstLine="480"/>
              <w:jc w:val="both"/>
            </w:pPr>
            <w:r>
              <w:rPr>
                <w:rFonts w:ascii="仿宋_GB2312" w:hAnsi="仿宋_GB2312" w:cs="仿宋_GB2312" w:eastAsia="仿宋_GB2312"/>
                <w:sz w:val="24"/>
              </w:rPr>
              <w:t>2.投标人必须成立合理的组织机构，建立保障项目顺利实施的各项管理制度和质量保证体系，安排高素质人才参加本项目的建设，要有专门固定人员配合本项目协调建设。</w:t>
            </w:r>
          </w:p>
          <w:p>
            <w:pPr>
              <w:pStyle w:val="null3"/>
              <w:ind w:firstLine="480"/>
              <w:jc w:val="both"/>
            </w:pPr>
            <w:r>
              <w:rPr>
                <w:rFonts w:ascii="仿宋_GB2312" w:hAnsi="仿宋_GB2312" w:cs="仿宋_GB2312" w:eastAsia="仿宋_GB2312"/>
                <w:sz w:val="24"/>
              </w:rPr>
              <w:t>3.项目负责人在相关方面有至少3年的丰富经验，小组成员配备有原型设计人员、需求调研人员和软件开发测试人员。</w:t>
            </w:r>
          </w:p>
          <w:p>
            <w:pPr>
              <w:pStyle w:val="null3"/>
              <w:ind w:firstLine="480"/>
              <w:jc w:val="both"/>
            </w:pPr>
            <w:r>
              <w:rPr>
                <w:rFonts w:ascii="仿宋_GB2312" w:hAnsi="仿宋_GB2312" w:cs="仿宋_GB2312" w:eastAsia="仿宋_GB2312"/>
                <w:sz w:val="24"/>
              </w:rPr>
              <w:t>4.在项目机构中应明确各岗位的职责、任职资格及成果，确保项目顺利实施。</w:t>
            </w:r>
          </w:p>
          <w:p>
            <w:pPr>
              <w:pStyle w:val="null3"/>
              <w:ind w:firstLine="480"/>
              <w:jc w:val="both"/>
            </w:pPr>
            <w:r>
              <w:rPr>
                <w:rFonts w:ascii="仿宋_GB2312" w:hAnsi="仿宋_GB2312" w:cs="仿宋_GB2312" w:eastAsia="仿宋_GB2312"/>
                <w:sz w:val="24"/>
              </w:rPr>
              <w:t>5.投标人需要提供列出详细实施计划，包括人员姓名、经验、学历和在本项目中的职责分工。</w:t>
            </w:r>
          </w:p>
          <w:p>
            <w:pPr>
              <w:pStyle w:val="null3"/>
              <w:ind w:firstLine="480"/>
              <w:jc w:val="both"/>
            </w:pPr>
            <w:r>
              <w:rPr>
                <w:rFonts w:ascii="仿宋_GB2312" w:hAnsi="仿宋_GB2312" w:cs="仿宋_GB2312" w:eastAsia="仿宋_GB2312"/>
                <w:sz w:val="24"/>
              </w:rPr>
              <w:t>（十一）应急管理要求</w:t>
            </w:r>
          </w:p>
          <w:p>
            <w:pPr>
              <w:pStyle w:val="null3"/>
              <w:ind w:firstLine="480"/>
              <w:jc w:val="both"/>
            </w:pPr>
            <w:r>
              <w:rPr>
                <w:rFonts w:ascii="仿宋_GB2312" w:hAnsi="仿宋_GB2312" w:cs="仿宋_GB2312" w:eastAsia="仿宋_GB2312"/>
                <w:sz w:val="24"/>
              </w:rPr>
              <w:t>为应对项目进展过程中的紧急情况，投标人应对项目进行过程中有可能出现的风险情形进行了预判，并提出具体、合理、可实施性强的应急措施，包括但不限于应对紧急需求变更与汇报的处理方案、其他敏感事件或重大事项快速响应机制。其中应对紧急需求变更与汇报的处理方案需包括响应流程、沟通汇报等，其他敏感事件或重大事项快速响应机制需包括敏感事件识别、应急预案制定等。</w:t>
            </w:r>
          </w:p>
          <w:p>
            <w:pPr>
              <w:pStyle w:val="null3"/>
              <w:spacing w:before="315" w:after="315"/>
              <w:jc w:val="left"/>
              <w:outlineLvl w:val="1"/>
            </w:pPr>
            <w:r>
              <w:rPr>
                <w:rFonts w:ascii="仿宋_GB2312" w:hAnsi="仿宋_GB2312" w:cs="仿宋_GB2312" w:eastAsia="仿宋_GB2312"/>
                <w:sz w:val="24"/>
                <w:b/>
              </w:rPr>
              <w:t>八、商务要求</w:t>
            </w:r>
          </w:p>
          <w:p>
            <w:pPr>
              <w:pStyle w:val="null3"/>
              <w:ind w:firstLine="480"/>
              <w:jc w:val="both"/>
            </w:pPr>
            <w:r>
              <w:rPr>
                <w:rFonts w:ascii="仿宋_GB2312" w:hAnsi="仿宋_GB2312" w:cs="仿宋_GB2312" w:eastAsia="仿宋_GB2312"/>
                <w:sz w:val="24"/>
              </w:rPr>
              <w:t>1.款项支付方式：合同签订后，甲方向乙方支付合同总金额的70%；完成项目建设内容并验收通过后，甲方向乙方支付合同总金额的30%。乙方在甲方办理以上各期付款的支付手续前，应向甲方出具等额的符合国家规定的发票。</w:t>
            </w:r>
          </w:p>
          <w:p>
            <w:pPr>
              <w:pStyle w:val="null3"/>
              <w:ind w:firstLine="480"/>
              <w:jc w:val="both"/>
            </w:pPr>
            <w:r>
              <w:rPr>
                <w:rFonts w:ascii="仿宋_GB2312" w:hAnsi="仿宋_GB2312" w:cs="仿宋_GB2312" w:eastAsia="仿宋_GB2312"/>
                <w:sz w:val="24"/>
              </w:rPr>
              <w:t>2.付款方式：采用银行转账形式。</w:t>
            </w:r>
          </w:p>
          <w:p>
            <w:pPr>
              <w:pStyle w:val="null3"/>
              <w:spacing w:before="315" w:after="315"/>
              <w:jc w:val="left"/>
              <w:outlineLvl w:val="1"/>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配备满足项目需求的人员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配备满足项目需求的设施设备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6个月，供应商需完成所有招标文件要求工作，并通过项目验收。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1、经过试运行期后，且无重大事故发生，在提交全部相关文档、代码等交付物的前提下， 中标单位可以向采购方提出系统验收申请，进行终验，终验应由采购方邀请有关专家组织现场验收。 2、项目成果提交包括以 下： （1）系统安装文件、源代码及详细说明文档； （2）项目实施过程中产生的各类文档，包括各类规范及标准化成果文 档； （3）系统开发及项目实施等相关文档，包括但不限于项目实施计划、项目需求说明书、设计说明书、测试报告、操作手 册、部署手册。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合同签订后，乙方向甲方出具等额的符合国家规定的发票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完成项目建设内容并验收通过后，乙方向甲方出具等额的符合国家规定的发票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 2）成交人未按合同要求提供货物与服务或货物与服务质量不能满足采购要求，且在规定时间内未达到合同规定标准的，采购人有权终止合同，同时报请监管部门对其违约行为进行追究。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1.提供合格有效的法人或其他组织的营业执照等证明文件， 自然人参与的提供其身份证原件。 2.提供2024年3月（含）至今已连续缴纳的至少一个月的纳税证明或完税证明；依法免税的单位应提供相关证明材料；提供2024年3月(含）至今已连续缴存的至少一个月的社会保障资金缴存单据或社保机构开具的社会保险参保缴费情况证明，单据或证明上应有社保机构或代收机构的公章；依法不需要缴纳社会保障资金的供应商应提供相关文件证明。 3.参加本次政府采购活动前3年内在经营活动中没有重大违法记录，以及未被列入严重失信主体、重大税收违法失信主体、政府采购严重违法失信行为记录名单的书面声明。 4.磋商单位具有履行合同所需的设备和专业技术能力。（提供承诺函） 5.磋商单位具备法律、行政法规规定的其他条件。（提供承诺函）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投标文件（格式）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提供经会计师事务所审计的2023年或2024年财务审计报告，或在开标日期前六个月内其基本开户银行出具的资信证明（附开户许可证或基本存款账户信息）。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投标文件（格式）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投标文件（格式）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 网站（www.creditchina.gov.cn）严重失信主体和重大税收违法失信主体的供应商，不得为中国政府采购网（www.ccgp.gov.cn）政府采购严重违法失信行为记录名单中被财政部门禁止参加政府采购活动的的供应商。</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申请人应具备行政主管部门颁发的乙级或以上规划资质证书;申请人拟派项目负责人须为本企业注册且具备注册城乡规划师证书。</w:t>
            </w:r>
          </w:p>
        </w:tc>
        <w:tc>
          <w:tcPr>
            <w:tcW w:type="dxa" w:w="1661"/>
          </w:tcPr>
          <w:p>
            <w:pPr>
              <w:pStyle w:val="null3"/>
            </w:pPr>
            <w:r>
              <w:rPr>
                <w:rFonts w:ascii="仿宋_GB2312" w:hAnsi="仿宋_GB2312" w:cs="仿宋_GB2312" w:eastAsia="仿宋_GB2312"/>
              </w:rPr>
              <w:t>投标文件（格式）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投标文件（格式）</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响应文件按照磋商文件规定要求签署、盖章的</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投标文件（格式）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满足本磋商文件中的实质性条款（服务期限、服务地点、支付方式、支付约定）要求的</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投标文件（格式）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 报价表 投标文件（格式）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报价未超过磋商文件中规定的预算金额的</w:t>
            </w:r>
          </w:p>
        </w:tc>
        <w:tc>
          <w:tcPr>
            <w:tcW w:type="dxa" w:w="1661"/>
          </w:tcPr>
          <w:p>
            <w:pPr>
              <w:pStyle w:val="null3"/>
            </w:pPr>
            <w:r>
              <w:rPr>
                <w:rFonts w:ascii="仿宋_GB2312" w:hAnsi="仿宋_GB2312" w:cs="仿宋_GB2312" w:eastAsia="仿宋_GB2312"/>
              </w:rPr>
              <w:t>标的清单 报价表 投标文件（格式）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投标文件（格式）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投标文件（格式）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项目整体认知</w:t>
            </w:r>
          </w:p>
        </w:tc>
        <w:tc>
          <w:tcPr>
            <w:tcW w:type="dxa" w:w="2492"/>
          </w:tcPr>
          <w:p>
            <w:pPr>
              <w:pStyle w:val="null3"/>
            </w:pPr>
            <w:r>
              <w:rPr>
                <w:rFonts w:ascii="仿宋_GB2312" w:hAnsi="仿宋_GB2312" w:cs="仿宋_GB2312" w:eastAsia="仿宋_GB2312"/>
              </w:rPr>
              <w:t>要求对本项目服务目标、项目建设背景、建设内容和需求理解、建设思路等内容及要求理解，提供相应的技术方案。 A.对本项目服务目标、内容及要求理解透彻；设计理念超前、思路新颖清晰，软件框架的选择和应用部署框架设计合理，易于拓展，针对性强,切实可行，得5分； B.对本项目服务目标、内容及要求、设计理念、思路、软件框架的选择和应用部署框架设计较为准确，可行性和针对性较强，得4分； C.对本项目服务目标、内容及要求、设计理念、思路、软件框架的选择和应用部署框架设计基本准确，基本合理可行，得3分； D.对本项目服务目标、内容及要求、设计理念、思路、软件框架的选择和应用部署框架设计描述简单笼统，缺乏针对性，得2分； E. 对本项目服务目标、内容及要求、设计理念、思路、软件框架的选择和应用部署框架设计内容合理性较差，缺少可行性，得1分； F.其他或未提供不得分。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项目重难点分析及解决策略</w:t>
            </w:r>
          </w:p>
        </w:tc>
        <w:tc>
          <w:tcPr>
            <w:tcW w:type="dxa" w:w="2492"/>
          </w:tcPr>
          <w:p>
            <w:pPr>
              <w:pStyle w:val="null3"/>
            </w:pPr>
            <w:r>
              <w:rPr>
                <w:rFonts w:ascii="仿宋_GB2312" w:hAnsi="仿宋_GB2312" w:cs="仿宋_GB2312" w:eastAsia="仿宋_GB2312"/>
              </w:rPr>
              <w:t>供应商围绕本项目特点提出项目建设的重点、难点，明确项目建设的总体要求，工作原则和解决策略。 A.描述全面完整，重点及难点把握准确，分析到位，解决措施科学完善、切实可行，得7分； B.描述较为全面，重点及难点把握较为准确，分析基本合理，解决措施合理可行，得5分； C.描述基本全面，重点及难点把握基本准确，分析简单，解决措施基本合理可行，得3分； D.描述简单，重点及难点把握有偏差，分析欠缺，得2分； E. 内容简单笼统，缺少可行性，得1分； F.其他或未提供不得分。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建设方案</w:t>
            </w:r>
          </w:p>
        </w:tc>
        <w:tc>
          <w:tcPr>
            <w:tcW w:type="dxa" w:w="2492"/>
          </w:tcPr>
          <w:p>
            <w:pPr>
              <w:pStyle w:val="null3"/>
            </w:pPr>
            <w:r>
              <w:rPr>
                <w:rFonts w:ascii="仿宋_GB2312" w:hAnsi="仿宋_GB2312" w:cs="仿宋_GB2312" w:eastAsia="仿宋_GB2312"/>
              </w:rPr>
              <w:t>针对项目建设内容展开描述，包含规划实施监测与分析评价数据整理入库、国土空间规划传导审查机制建设、“三区三线”实施监测预警体系建设等内容三个部分，每个部分最高得7分，具体评审如下： A.技术方案及主要技术措施完善、明确；技术方案内容全面，可行性和针对性强，得7分； B.技术方案及主要技术措施较为明确；技术方案基本满足要求，可行性和针对性较强，得5分； C.技术方案及主要技术措施基本清晰；技术方案常规，有一定的可行性和针对性，得3分； D.技术方案及主要技术措施内容欠缺；技术方案简单笼统，缺乏针对性，得2分； E.技术方案及主要技术措施内容合理性较差，技术方案可行性较低，得1分； F.其他或未提供不得分。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安全方案及安全保障体系</w:t>
            </w:r>
          </w:p>
        </w:tc>
        <w:tc>
          <w:tcPr>
            <w:tcW w:type="dxa" w:w="2492"/>
          </w:tcPr>
          <w:p>
            <w:pPr>
              <w:pStyle w:val="null3"/>
            </w:pPr>
            <w:r>
              <w:rPr>
                <w:rFonts w:ascii="仿宋_GB2312" w:hAnsi="仿宋_GB2312" w:cs="仿宋_GB2312" w:eastAsia="仿宋_GB2312"/>
              </w:rPr>
              <w:t>供应商的软件系统开发运行、数据处理、信息管理等工作必须在现有安全体制下提出确保系统安全可靠的策略、措施和步骤。提供安全方案及安全保障体系（包括但不限于系统安全、信息安全、管理安全、数据安全等）。 A.方案详尽，合理可行，逻辑清楚，针对性及可行性强，得3分； B.方案较完善，有一定的逻辑性、针对性、可行性，得2分； C.方案内容简单笼统，方案针对性一般得1分； D.其他或未提供不得分。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对故障诊断、故障恢复、维护管理、安全管理（包括但不限于系统安全、信息安全、管理安全、数据安全等）等，有详细、可行的保障服务措施及方案。 A.方案详尽，合理可行，逻辑清楚，针对性及可行性强，得4分； B.方案较完善，有一定的逻辑性、针对性、可行性，得3分； C.方案内容简单笼统，方案针对性一般得2分； D.方案内容缺失、方案针对性较差得1分； E.其他或未提供不得分。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进度保障方案</w:t>
            </w:r>
          </w:p>
        </w:tc>
        <w:tc>
          <w:tcPr>
            <w:tcW w:type="dxa" w:w="2492"/>
          </w:tcPr>
          <w:p>
            <w:pPr>
              <w:pStyle w:val="null3"/>
            </w:pPr>
            <w:r>
              <w:rPr>
                <w:rFonts w:ascii="仿宋_GB2312" w:hAnsi="仿宋_GB2312" w:cs="仿宋_GB2312" w:eastAsia="仿宋_GB2312"/>
              </w:rPr>
              <w:t>提供具有针对性的进度保障方案，包含但不限于工作时间进度计划、工作程序和步骤等。 A.方案详尽，合理可行，逻辑清楚，针对性及可行性强，得4分； B.方案较完善，有一定的逻辑性、针对性、可行性，得3分； C.方案内容简单笼统，方案针对性一般得2分； D.方案内容缺失、方案针对性较差得1分； E.其他或未提供不得分。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针对可能出现的问题及突发事件，有具体可行的应急措施和解决方案，内容包括但不限于运维响应时间、定期巡查、应急解决方案、服务监督管理机制、服务承诺等。 A.方案详尽，合理可行，逻辑清楚，针对性及可行性强，得4分； B.方案较完善，有一定的逻辑性、针对性、可行性，得3分； C.方案内容简单笼统，方案针对性一般得2分； D.方案内容缺失、方案针对性较差得1分； E.其他或未提供不得分。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供应商根据采购需求，提供项目培训方案，包括但不限于培训组织架构、培训内容、培训方式、培训流程及日程安排。 A.方案详尽，合理可行，逻辑清楚，针对性及可行性强，得4分； B.方案较完善，有一定的逻辑性、针对性、可行性，得3分； C.方案内容简单笼统，方案针对性一般得2分； D.方案内容缺失、方案针对性较差得1分； E.其他或未提供不得分。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驻场服务能力</w:t>
            </w:r>
          </w:p>
        </w:tc>
        <w:tc>
          <w:tcPr>
            <w:tcW w:type="dxa" w:w="2492"/>
          </w:tcPr>
          <w:p>
            <w:pPr>
              <w:pStyle w:val="null3"/>
            </w:pPr>
            <w:r>
              <w:rPr>
                <w:rFonts w:ascii="仿宋_GB2312" w:hAnsi="仿宋_GB2312" w:cs="仿宋_GB2312" w:eastAsia="仿宋_GB2312"/>
              </w:rPr>
              <w:t>需提供不少于4人的固定人员驻场技术服务，得4分，未提供或少于4人不得分。（：以身份证、毕业证、职称证或注册证、社保机构出具的2024年至今任意1个月社保证明等文件为准，未按要求提供不得分。）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后期服务承诺及措施</w:t>
            </w:r>
          </w:p>
        </w:tc>
        <w:tc>
          <w:tcPr>
            <w:tcW w:type="dxa" w:w="2492"/>
          </w:tcPr>
          <w:p>
            <w:pPr>
              <w:pStyle w:val="null3"/>
            </w:pPr>
            <w:r>
              <w:rPr>
                <w:rFonts w:ascii="仿宋_GB2312" w:hAnsi="仿宋_GB2312" w:cs="仿宋_GB2312" w:eastAsia="仿宋_GB2312"/>
              </w:rPr>
              <w:t>供应商具有完善的售后服务体系，并有详细的售后服务措施及承诺，能够保证 7*24h 不间断运行。 A.服务措施及承诺完善，内容详细、科学合理、针对性强，得4分； B.服务措施及承诺基本合理，有一定针对性，得3分； C.服务措施及承诺简单笼统，针对性一般，得1分；D.方案内容缺失、方案针对性较差得1分；E. 其他或未提供不得分。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投标人具有以下证书： 1、投标人具有质量管理体系认证、环境管理体系认证、职业健康安全体系认证证书，认证范围需和软件开发相关，以上3项，每提供1项得2分，最高得6分。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1、项目负责人具备规划类、地理信息类或计算机信息类高级职称得3分，中级职称得2分，无则不得分。 2、技术负责人具备规划类或地理信息类或计算机信息类高级职称得2分，具备注册测绘师职业资格得1分，满分得3分，其余情况不得分。 3、拟投入本项目的其他团队成员具备规划类、地理信息类或计算机信息类高级职称得1分，中级职称得0.5分，最高得6分。 4、针对本项目的组织架构，团队人员配置合理，岗位职责清晰明确，优秀得2分，一般得1分，未提供不得分。注：以身份证、毕业证、职称证或注册证、社保机构出具的2024年至今任意1个月社保证明等文件为准，未按要求提供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投标文件（格式）</w:t>
            </w:r>
          </w:p>
        </w:tc>
      </w:tr>
      <w:tr>
        <w:tc>
          <w:tcPr>
            <w:tcW w:type="dxa" w:w="831"/>
            <w:vMerge/>
          </w:tcPr>
          <w:p/>
        </w:tc>
        <w:tc>
          <w:tcPr>
            <w:tcW w:type="dxa" w:w="1661"/>
          </w:tcPr>
          <w:p>
            <w:pPr>
              <w:pStyle w:val="null3"/>
            </w:pPr>
            <w:r>
              <w:rPr>
                <w:rFonts w:ascii="仿宋_GB2312" w:hAnsi="仿宋_GB2312" w:cs="仿宋_GB2312" w:eastAsia="仿宋_GB2312"/>
              </w:rPr>
              <w:t>同类业绩</w:t>
            </w:r>
          </w:p>
        </w:tc>
        <w:tc>
          <w:tcPr>
            <w:tcW w:type="dxa" w:w="2492"/>
          </w:tcPr>
          <w:p>
            <w:pPr>
              <w:pStyle w:val="null3"/>
            </w:pPr>
            <w:r>
              <w:rPr>
                <w:rFonts w:ascii="仿宋_GB2312" w:hAnsi="仿宋_GB2312" w:cs="仿宋_GB2312" w:eastAsia="仿宋_GB2312"/>
              </w:rPr>
              <w:t>投标人提供2022年1月1日至今同类项目业绩（以合同签订日期为准），每提供1个得2分，最高得10分。 备注：响应文件中提供合同复印件加盖公章。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投标文件（格式）</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经资格审查合格的投标文件，其投标报价为有效投标报价。并对有效投标报价进行政策性扣减，并依据扣减后的价格（评审价格）进行价格评审； 有效最低评审价格得10分； 其他投标人的价格分统一按照下列公式计算： 价格分=(最低评审价格／投标报价)×10 计算分数时保留小数点后两位。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投标文件（格式）</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详见附件：投标文件（格式）</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