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软件后续维保服务费用表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         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 w:eastAsiaTheme="minorEastAsia"/>
          <w:sz w:val="24"/>
          <w:lang w:eastAsia="zh-CN"/>
        </w:rPr>
      </w:pPr>
      <w:r>
        <w:rPr>
          <w:rFonts w:hint="eastAsia" w:ascii="宋体" w:hAnsi="宋体"/>
          <w:sz w:val="24"/>
        </w:rPr>
        <w:t>投标人全称：                                                 单位：</w:t>
      </w:r>
      <w:r>
        <w:rPr>
          <w:rFonts w:hint="eastAsia" w:ascii="宋体" w:hAnsi="宋体"/>
          <w:sz w:val="24"/>
          <w:lang w:val="en-US" w:eastAsia="zh-CN"/>
        </w:rPr>
        <w:t>%</w:t>
      </w:r>
    </w:p>
    <w:tbl>
      <w:tblPr>
        <w:tblStyle w:val="8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1"/>
        <w:gridCol w:w="6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3241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kinsoku w:val="0"/>
              <w:spacing w:line="500" w:lineRule="exact"/>
              <w:ind w:firstLine="1800" w:firstLineChars="7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61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软件后续维保服务费用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3241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117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2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软件后续维保服务费用（大写）：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      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2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备注：软件免费维保期满后的年服务费率不超过成交金额的10%。未按要求响应按无效文件处理。</w:t>
            </w:r>
            <w:bookmarkStart w:id="0" w:name="_GoBack"/>
            <w:bookmarkEnd w:id="0"/>
          </w:p>
        </w:tc>
      </w:tr>
    </w:tbl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>
      <w:r>
        <w:rPr>
          <w:rFonts w:hAnsi="宋体" w:cs="Times New Roman"/>
          <w:sz w:val="24"/>
          <w:szCs w:val="24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19254798-ed0b-4384-81cd-559ff01be4cc"/>
  </w:docVars>
  <w:rsids>
    <w:rsidRoot w:val="2C4A4586"/>
    <w:rsid w:val="002A7E5B"/>
    <w:rsid w:val="0048234D"/>
    <w:rsid w:val="00B12CE0"/>
    <w:rsid w:val="00BD683A"/>
    <w:rsid w:val="26AE4D40"/>
    <w:rsid w:val="2C4A4586"/>
    <w:rsid w:val="4F7D05E8"/>
    <w:rsid w:val="4FC7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6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Char"/>
    <w:basedOn w:val="9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9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166</Words>
  <Characters>166</Characters>
  <Lines>1</Lines>
  <Paragraphs>1</Paragraphs>
  <TotalTime>1</TotalTime>
  <ScaleCrop>false</ScaleCrop>
  <LinksUpToDate>false</LinksUpToDate>
  <CharactersWithSpaces>360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2025-02-25T09:21:52Z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E52ACAC800664F91B1FF4B14C43341AA_11</vt:lpwstr>
  </property>
</Properties>
</file>