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版本号：ZDJ125-011／02ZSA20250425001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普通国省干线公路平安百年品质工程创建示范技术服务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ZDJ125-011／02ZSA</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普通国省干线公路平安百年品质工程创建示范技术服务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ZDJ125-011／02ZSA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普通国省干线公路平安百年品质工程创建示范技术服务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交通运输部及省厅相关文件精神，为解决我省普通国省干线公路建设质量下滑、安全问题突出问题，我局拟在普通国省干线公路建设领域开展平安百年品质工程攻关行动，旨在坚持问题和目标导向，开展施工技术攻关，提炼推广先进工程技术管理经验、优秀工法，进一步完善有关工程质量安全技术标准，提升我省公路工程质量安全管理水平。划分1个标段，预算金额95万元，具体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1、企业资质：具备有效的公路工程监理甲级资质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88408515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说明：1.乙方在签订本合同之前，向甲方构提交履约保证金人民币为成交价的5%。 2.履约保证金的有效期为乙方承诺的服务期限。 3.履约保证金作为违约金的一部分及用于补偿甲方因乙方不能履行合同义务而蒙受的损失。 4.服务期限结束后，乙方出具项目履约情况报告，甲方通过履约验收合格且无任何争议后，向乙方退还履约保证金（无息）。 5.乙方可以履约担保函的形式交纳履约保证金。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代理服务费收费标准：依据成交供应商成交金额的1%收取，由成交单位领取成交通知书前一次付清代理服务费。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甲方组织召开履约验收会议，根据磋商文件、响应文件及合同约定执行。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地址：西安市雁塔区南二环东段22号（凯森盛世1号）A座26楼2617经营一部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交通运输部及省厅相关文件精神，为解决我省普通国省干线公路建设质量下滑、安全问题突出问题，我局拟在普通国省干线公路建设领域开展平安百年品质工程攻关行动，旨在坚持问题和目标导向，开展施工技术攻关，提炼推广先进工程技术管理经验、优秀工法，进一步完善有关工程质量安全技术标准，提升我省公路工程质量安全管理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普通国省干线公路平安百年品质工程创建示范技术服务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标的名称：普通国省干线公路平安百年品质工程创建示范技术服务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402"/>
              <w:jc w:val="both"/>
            </w:pPr>
            <w:r>
              <w:rPr>
                <w:rFonts w:ascii="仿宋_GB2312" w:hAnsi="仿宋_GB2312" w:cs="仿宋_GB2312" w:eastAsia="仿宋_GB2312"/>
                <w:sz w:val="20"/>
                <w:b/>
              </w:rPr>
              <w:t>一、</w:t>
            </w:r>
            <w:r>
              <w:rPr>
                <w:rFonts w:ascii="仿宋_GB2312" w:hAnsi="仿宋_GB2312" w:cs="仿宋_GB2312" w:eastAsia="仿宋_GB2312"/>
                <w:sz w:val="20"/>
                <w:b/>
              </w:rPr>
              <w:t>服务要求</w:t>
            </w:r>
          </w:p>
          <w:p>
            <w:pPr>
              <w:pStyle w:val="null3"/>
              <w:ind w:firstLine="420"/>
              <w:jc w:val="both"/>
            </w:pPr>
            <w:r>
              <w:rPr>
                <w:rFonts w:ascii="仿宋_GB2312" w:hAnsi="仿宋_GB2312" w:cs="仿宋_GB2312" w:eastAsia="仿宋_GB2312"/>
                <w:sz w:val="21"/>
              </w:rPr>
              <w:t>进行质量安全工艺研究，开展桥梁预制梁、隧道施工质量安全管控能力技术攻关，编制施工技术指南，推广应用先进管理经验、优秀工法，指导在建项目。</w:t>
            </w:r>
            <w:r>
              <w:rPr>
                <w:rFonts w:ascii="仿宋_GB2312" w:hAnsi="仿宋_GB2312" w:cs="仿宋_GB2312" w:eastAsia="仿宋_GB2312"/>
                <w:sz w:val="21"/>
              </w:rPr>
              <w:t xml:space="preserve"> </w:t>
            </w:r>
          </w:p>
          <w:p>
            <w:pPr>
              <w:pStyle w:val="null3"/>
              <w:ind w:firstLine="400"/>
              <w:jc w:val="both"/>
            </w:pPr>
            <w:r>
              <w:rPr>
                <w:rFonts w:ascii="仿宋_GB2312" w:hAnsi="仿宋_GB2312" w:cs="仿宋_GB2312" w:eastAsia="仿宋_GB2312"/>
                <w:sz w:val="20"/>
              </w:rPr>
              <w:t>二、</w:t>
            </w:r>
            <w:r>
              <w:rPr>
                <w:rFonts w:ascii="仿宋_GB2312" w:hAnsi="仿宋_GB2312" w:cs="仿宋_GB2312" w:eastAsia="仿宋_GB2312"/>
                <w:sz w:val="21"/>
                <w:b/>
              </w:rPr>
              <w:t>采购内容</w:t>
            </w:r>
          </w:p>
          <w:p>
            <w:pPr>
              <w:pStyle w:val="null3"/>
              <w:ind w:firstLine="422"/>
              <w:jc w:val="both"/>
            </w:pPr>
            <w:r>
              <w:rPr>
                <w:rFonts w:ascii="仿宋_GB2312" w:hAnsi="仿宋_GB2312" w:cs="仿宋_GB2312" w:eastAsia="仿宋_GB2312"/>
                <w:sz w:val="21"/>
                <w:b/>
              </w:rPr>
              <w:t>（一）总述</w:t>
            </w:r>
          </w:p>
          <w:p>
            <w:pPr>
              <w:pStyle w:val="null3"/>
              <w:ind w:firstLine="420"/>
              <w:jc w:val="both"/>
            </w:pPr>
            <w:r>
              <w:rPr>
                <w:rFonts w:ascii="仿宋_GB2312" w:hAnsi="仿宋_GB2312" w:cs="仿宋_GB2312" w:eastAsia="仿宋_GB2312"/>
                <w:sz w:val="21"/>
              </w:rPr>
              <w:t>依托具有代表性的</w:t>
            </w:r>
            <w:r>
              <w:rPr>
                <w:rFonts w:ascii="仿宋_GB2312" w:hAnsi="仿宋_GB2312" w:cs="仿宋_GB2312" w:eastAsia="仿宋_GB2312"/>
                <w:sz w:val="21"/>
              </w:rPr>
              <w:t>210</w:t>
            </w:r>
            <w:r>
              <w:rPr>
                <w:rFonts w:ascii="仿宋_GB2312" w:hAnsi="仿宋_GB2312" w:cs="仿宋_GB2312" w:eastAsia="仿宋_GB2312"/>
                <w:sz w:val="21"/>
              </w:rPr>
              <w:t>国道</w:t>
            </w:r>
            <w:r>
              <w:rPr>
                <w:rFonts w:ascii="仿宋_GB2312" w:hAnsi="仿宋_GB2312" w:cs="仿宋_GB2312" w:eastAsia="仿宋_GB2312"/>
                <w:sz w:val="21"/>
              </w:rPr>
              <w:t>耀州惠塬至印台陈炉公路等</w:t>
            </w:r>
            <w:r>
              <w:rPr>
                <w:rFonts w:ascii="仿宋_GB2312" w:hAnsi="仿宋_GB2312" w:cs="仿宋_GB2312" w:eastAsia="仿宋_GB2312"/>
                <w:sz w:val="21"/>
              </w:rPr>
              <w:t>4</w:t>
            </w:r>
            <w:r>
              <w:rPr>
                <w:rFonts w:ascii="仿宋_GB2312" w:hAnsi="仿宋_GB2312" w:cs="仿宋_GB2312" w:eastAsia="仿宋_GB2312"/>
                <w:sz w:val="21"/>
              </w:rPr>
              <w:t>个平安百年品质工程创建示范项目开展技术咨询、提供项目技术攻关建议书。</w:t>
            </w:r>
          </w:p>
          <w:p>
            <w:pPr>
              <w:pStyle w:val="null3"/>
              <w:ind w:firstLine="420"/>
              <w:jc w:val="both"/>
            </w:pPr>
            <w:r>
              <w:rPr>
                <w:rFonts w:ascii="仿宋_GB2312" w:hAnsi="仿宋_GB2312" w:cs="仿宋_GB2312" w:eastAsia="仿宋_GB2312"/>
                <w:sz w:val="21"/>
              </w:rPr>
              <w:t>（二）主要工作内容</w:t>
            </w:r>
          </w:p>
          <w:p>
            <w:pPr>
              <w:pStyle w:val="null3"/>
              <w:ind w:firstLine="420"/>
              <w:jc w:val="both"/>
            </w:pPr>
            <w:r>
              <w:rPr>
                <w:rFonts w:ascii="仿宋_GB2312" w:hAnsi="仿宋_GB2312" w:cs="仿宋_GB2312" w:eastAsia="仿宋_GB2312"/>
                <w:sz w:val="21"/>
              </w:rPr>
              <w:t>1.依托具有代表性的210</w:t>
            </w:r>
            <w:r>
              <w:rPr>
                <w:rFonts w:ascii="仿宋_GB2312" w:hAnsi="仿宋_GB2312" w:cs="仿宋_GB2312" w:eastAsia="仿宋_GB2312"/>
                <w:sz w:val="21"/>
              </w:rPr>
              <w:t>国道</w:t>
            </w:r>
            <w:r>
              <w:rPr>
                <w:rFonts w:ascii="仿宋_GB2312" w:hAnsi="仿宋_GB2312" w:cs="仿宋_GB2312" w:eastAsia="仿宋_GB2312"/>
                <w:sz w:val="21"/>
              </w:rPr>
              <w:t>耀州惠塬至印台陈炉公路</w:t>
            </w:r>
            <w:r>
              <w:rPr>
                <w:rFonts w:ascii="仿宋_GB2312" w:hAnsi="仿宋_GB2312" w:cs="仿宋_GB2312" w:eastAsia="仿宋_GB2312"/>
                <w:sz w:val="21"/>
              </w:rPr>
              <w:t>等</w:t>
            </w:r>
            <w:r>
              <w:rPr>
                <w:rFonts w:ascii="仿宋_GB2312" w:hAnsi="仿宋_GB2312" w:cs="仿宋_GB2312" w:eastAsia="仿宋_GB2312"/>
                <w:sz w:val="21"/>
              </w:rPr>
              <w:t>4个</w:t>
            </w:r>
            <w:r>
              <w:rPr>
                <w:rFonts w:ascii="仿宋_GB2312" w:hAnsi="仿宋_GB2312" w:cs="仿宋_GB2312" w:eastAsia="仿宋_GB2312"/>
                <w:sz w:val="21"/>
              </w:rPr>
              <w:t>项目进行质量安全工艺研究，开展桥梁预制梁、隧道施工质量安全管控能力和路基路面工程施工技术攻关行动。</w:t>
            </w:r>
          </w:p>
          <w:p>
            <w:pPr>
              <w:pStyle w:val="null3"/>
              <w:ind w:firstLine="420"/>
              <w:jc w:val="both"/>
            </w:pPr>
            <w:r>
              <w:rPr>
                <w:rFonts w:ascii="仿宋_GB2312" w:hAnsi="仿宋_GB2312" w:cs="仿宋_GB2312" w:eastAsia="仿宋_GB2312"/>
                <w:sz w:val="21"/>
              </w:rPr>
              <w:t>桥梁工程重点解决预制场布设不合理、预制梁钢筋加工、钢筋骨架制作、混凝土浇筑与养生、智能张拉和压浆等关键工序质量控制不严等质量通病问题，提高桥梁工程耐久性。</w:t>
            </w:r>
          </w:p>
          <w:p>
            <w:pPr>
              <w:pStyle w:val="null3"/>
              <w:ind w:firstLine="420"/>
              <w:jc w:val="both"/>
            </w:pPr>
            <w:r>
              <w:rPr>
                <w:rFonts w:ascii="仿宋_GB2312" w:hAnsi="仿宋_GB2312" w:cs="仿宋_GB2312" w:eastAsia="仿宋_GB2312"/>
                <w:sz w:val="21"/>
              </w:rPr>
              <w:t>隧道工程重点解决隧道开挖、初期支护、二衬浇筑、超前地质预报、监控量测、隐蔽工程检测等施工环节存在的突出问题。</w:t>
            </w:r>
          </w:p>
          <w:p>
            <w:pPr>
              <w:pStyle w:val="null3"/>
              <w:ind w:firstLine="420"/>
              <w:jc w:val="both"/>
            </w:pPr>
            <w:r>
              <w:rPr>
                <w:rFonts w:ascii="仿宋_GB2312" w:hAnsi="仿宋_GB2312" w:cs="仿宋_GB2312" w:eastAsia="仿宋_GB2312"/>
                <w:sz w:val="21"/>
              </w:rPr>
              <w:t>路基路面工程重点解决大填大挖破坏生态环境、水文地质勘探深度不够引起滑坡、高边坡主动防措施不足或方案不稳妥造成滑塌、排水设施不完善及路面病害等问题。</w:t>
            </w:r>
          </w:p>
          <w:p>
            <w:pPr>
              <w:pStyle w:val="null3"/>
              <w:ind w:firstLine="420"/>
              <w:jc w:val="both"/>
            </w:pPr>
            <w:r>
              <w:rPr>
                <w:rFonts w:ascii="仿宋_GB2312" w:hAnsi="仿宋_GB2312" w:cs="仿宋_GB2312" w:eastAsia="仿宋_GB2312"/>
                <w:sz w:val="21"/>
              </w:rPr>
              <w:t>2.编制施工技术建议书</w:t>
            </w:r>
          </w:p>
          <w:p>
            <w:pPr>
              <w:pStyle w:val="null3"/>
              <w:ind w:firstLine="420"/>
              <w:jc w:val="both"/>
            </w:pPr>
            <w:r>
              <w:rPr>
                <w:rFonts w:ascii="仿宋_GB2312" w:hAnsi="仿宋_GB2312" w:cs="仿宋_GB2312" w:eastAsia="仿宋_GB2312"/>
                <w:sz w:val="21"/>
              </w:rPr>
              <w:t>结合咨询服务项目特点，指导项目开展平安百年品质工程技术攻关行动，编制技术指导建议书。</w:t>
            </w:r>
          </w:p>
          <w:p>
            <w:pPr>
              <w:pStyle w:val="null3"/>
              <w:ind w:firstLine="420"/>
              <w:jc w:val="both"/>
            </w:pPr>
            <w:r>
              <w:rPr>
                <w:rFonts w:ascii="仿宋_GB2312" w:hAnsi="仿宋_GB2312" w:cs="仿宋_GB2312" w:eastAsia="仿宋_GB2312"/>
                <w:sz w:val="21"/>
                <w:b/>
              </w:rPr>
              <w:t>（三）技术服务工作内容</w:t>
            </w:r>
          </w:p>
          <w:p>
            <w:pPr>
              <w:pStyle w:val="null3"/>
              <w:jc w:val="both"/>
            </w:pPr>
            <w:r>
              <w:rPr>
                <w:rFonts w:ascii="仿宋_GB2312" w:hAnsi="仿宋_GB2312" w:cs="仿宋_GB2312" w:eastAsia="仿宋_GB2312"/>
                <w:sz w:val="21"/>
              </w:rPr>
              <w:t xml:space="preserve">  平安百年品质工程攻关技术指导及编制技术建议书</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主要人员要求： （一）人员配备要求：技术咨询单位应组建专家组，专家人数应不少于7人，且专业应覆盖公路建设管理各方面。 （二）主要人员资格要求： 1.组长：具有公路专业正高级工程师技术职称，10年及以上公路建设管理经历，担任过1个普通国省干线或高速公路项目负责人或总监。 2.路基、路面、桥梁、隧道、交通工程专家：具有公路专业高级工程师及以上技术职称，8年及以上公路建设管理经历，在2个普通国省干线或高速公路项目相应专业主要技术管理岗位从业。 3.试验检测专家：具有公路专业高级工程师及以上技术职称，公路工程检测工程师资格，8年及以上试验检测工作经历，在2个普通国省干线或高速公路项目担任过工地试验室主任或技术负责人。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采购包1：项目依据 1.交通运输部《关于打造公路水运品质工程的指导意见》； 2.交通运输部办公厅关于印发《平安百年品质工程建设研究推进方案》的通知； 3.交通运输部办公厅关于印发《品质工程攻关行动试点方案》的通知； 4.交通运输部《关于印发公路水运品质工程的评价标准的通知》； 5.《陕西省交通运输厅关于推进“十四五”普通国省干线公路品质工程建设的意见》； 6.交通运输部《关于印发公路水运工程平安工地建设管理办法的通知》； 7.交通运输部办公厅、应急管理部办公厅、中华全国总工会办公厅《关于组织公路水运建设项目平安工程冠名工作的通知》。</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验收标准：出具技术建议报告，总结优秀工艺工法，通过采购人审查和验收； 验收方法： 由供应商进行自检合格后，提交履约情况报告，并书面通知采购人。采购人确认供应商能够达到合同履约要求后，组织供应商（必要时请有关专家）进行项目验收，验收合格后，填写项目验收单作为对项目的最终认可。 供应商向采购人提交项目实施过程中的所有资料,以便采购人日后管理和维护该项目。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双方签署合同后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提交项目全部成果后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因甲方原因造成乙方停工、返工及合同停止，乙方不承担违约责任。2．乙方未经甲方同意将项目中的部分工作任务分包给第三方，或将项目转包给第三方承担，甲方有权要求乙方予以纠正或解除合同，并有权要求乙方按照合同总金额的向5%甲方承担违约责任，并赔偿给甲方造成的一切损失。 3．乙方向甲方提交的所有资料成果必须保证真实可靠，一经发现存在弄虚作假的行为，甲方有权追索项目款，解除合同，乙方应按照合同总金额的20%向甲方承担违约责任。4．除上述情况，对本合同的任何违反均构成违约。当一方认为对方的违约属于严重违约时，若按照相关法律规定或按照通常的理解或认识，确属对合同的履行有重大影响，则应当被认为属于严重违约。若双方对某一违约是否属于严重违约仍有争议，可以由采购人所在地司法机构解决。5．若乙方未如期按照合同约定的任何／或全部款项内容之要求提供服务及／或乙方未能履行合同规定的任何其它义务时，甲方有权直接向乙方发出违约通知书，同时乙方还应承担由此发生的相关费用并承担由此给甲方造成的直接损失及甲方因此产生的对第三方的责任。6．如果乙方在收到甲方的违约通知书后十日内未作答复，甲方有权解除合同，乙方应按照合同总金额的20%向甲方承担违约责任，并赔偿给甲方造成的一切损失。7．若发生上述情形之外的任何违约时，违约方在接到对方关于违约的通知时，均应当就每一项违约向对方支付相当于合同金额5%的违约金。当违约行为给对方造成损失时，若违约金不足以弥补全部损失，违约方还应当赔偿对方因此所受全部损失。当构成严重违约时，对方可以单方面决定解除或终止合同履行，违约方同时还应当承担违约及／或赔偿责任。8．如果乙方延期提供服务（包括阶段性时间），延误罚款为合同金额0.5%元/天。累计罚款超过合同金额10%或延期服务超过20天，甲方有权终止合同，并有权要求乙方承担甲方因此所受的全部损失。9．在本项目过程中，如果甲方要求，乙方应立即从现场撤出甲方认为不能恰当地履行其职责或有不当行为的人员，且应尽快替换以称职的人员。10.以上各项交付的违约金并不影响违约方履行合同的各项义务。11.本次采购的合同项下的任何合同、文件等均应当符合有关环保、知识产权及其他法律法规的规定，包括童工禁用、劳动保护待遇等法律规定。乙方在合同的签订及履行过程中，其签署、履行合同均意味着其已承诺，任何情况下，均将严格遵守法律、法规，并且应当独立承担全部及任何法律责任，包括甲方、最终用户或任何第三方的民事侵权赔偿责任。上述该等责任同时亦均属严重违约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1.磋商文件中所属行业为“其他未列明行业”。从业人员300人以下的为中小微型企业。其中，从业人员100人及以上的为中型企业；从业人员10人及以上的为小型企业；从业人员10人以下的为微型企业。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采购活动3年内，在经营活动中没有重大违法记录以及未被列入失信被执行人、重大税收违法案件当事人名单、政府采购严重违法失信行为记录名单的书面声明；（6）法定代表人（单位负责人）参加投标的，提供本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供应商提供2023年或2024年度经审计的财务会计报告，包括 “四表一注” 或者提供响应文件截止时间前3个月内其基本账户开户银行出具的资信证明；供应商成立不到1年的，可提供企业任意时段财务报表；供应商为公益类事业单位或者自然人的无需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具备有效的公路工程监理甲级资质</w:t>
            </w:r>
          </w:p>
        </w:tc>
        <w:tc>
          <w:tcPr>
            <w:tcW w:type="dxa" w:w="1661"/>
          </w:tcPr>
          <w:p>
            <w:pPr>
              <w:pStyle w:val="null3"/>
            </w:pPr>
            <w:r>
              <w:rPr>
                <w:rFonts w:ascii="仿宋_GB2312" w:hAnsi="仿宋_GB2312" w:cs="仿宋_GB2312" w:eastAsia="仿宋_GB2312"/>
              </w:rPr>
              <w:t>供应商应提交的资格证明材料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响应文件封面 商务技术资料 供应商应提交的资格证明材料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响应文件封面 商务技术资料 供应商应提交的资格证明材料 服务内容及服务邀请应答表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只能有一个有效报价，不得提交选择性报价，且报价不超过磋商文件规定的采购预算或最高限价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自合同签订之日起至2025年11月30日止。</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服务标准</w:t>
            </w:r>
          </w:p>
        </w:tc>
        <w:tc>
          <w:tcPr>
            <w:tcW w:type="dxa" w:w="3322"/>
          </w:tcPr>
          <w:p>
            <w:pPr>
              <w:pStyle w:val="null3"/>
            </w:pPr>
            <w:r>
              <w:rPr>
                <w:rFonts w:ascii="仿宋_GB2312" w:hAnsi="仿宋_GB2312" w:cs="仿宋_GB2312" w:eastAsia="仿宋_GB2312"/>
              </w:rPr>
              <w:t>出具技术建议报告，总结优秀工艺工法，通过采购人审查和验收</w:t>
            </w:r>
          </w:p>
        </w:tc>
        <w:tc>
          <w:tcPr>
            <w:tcW w:type="dxa" w:w="1661"/>
          </w:tcPr>
          <w:p>
            <w:pPr>
              <w:pStyle w:val="null3"/>
            </w:pPr>
            <w:r>
              <w:rPr>
                <w:rFonts w:ascii="仿宋_GB2312" w:hAnsi="仿宋_GB2312" w:cs="仿宋_GB2312" w:eastAsia="仿宋_GB2312"/>
              </w:rPr>
              <w:t>响应文件封面 商务技术资料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符合“拟签订合同交本”条款中实质性要求和条件</w:t>
            </w:r>
          </w:p>
        </w:tc>
        <w:tc>
          <w:tcPr>
            <w:tcW w:type="dxa" w:w="1661"/>
          </w:tcPr>
          <w:p>
            <w:pPr>
              <w:pStyle w:val="null3"/>
            </w:pPr>
            <w:r>
              <w:rPr>
                <w:rFonts w:ascii="仿宋_GB2312" w:hAnsi="仿宋_GB2312" w:cs="仿宋_GB2312" w:eastAsia="仿宋_GB2312"/>
              </w:rPr>
              <w:t>响应文件封面 商务技术资料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商务技术资料 供应商应提交的资格证明材料 服务内容及服务邀请应答表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对本项目服务内容及要求的理解</w:t>
            </w:r>
          </w:p>
        </w:tc>
        <w:tc>
          <w:tcPr>
            <w:tcW w:type="dxa" w:w="2492"/>
          </w:tcPr>
          <w:p>
            <w:pPr>
              <w:pStyle w:val="null3"/>
            </w:pPr>
            <w:r>
              <w:rPr>
                <w:rFonts w:ascii="仿宋_GB2312" w:hAnsi="仿宋_GB2312" w:cs="仿宋_GB2312" w:eastAsia="仿宋_GB2312"/>
              </w:rPr>
              <w:t>一、评审内容：根据供应商响应文件中的对本项目服务内容及要求的理解进行综合评价，包含但不限于①服务内容的理解；②服务要求的理解。 二、评审标准： （1）完整性：内容全面详尽，对各方面有详细的描述和说明。 （2）合理性：项目切合实际，进度控制合理、思路清晰，科学合理。 （3）针对性：方案编制紧扣项目特点和采购需求，针对性强，整体性高。 三、赋分标准（满分6分） （1）服务内容的理解，此评审满分3分，每完全满足一项评审标准得1分，针对每条评审标准，如存在不合理的方面扣0.3分，针对每条评审标准，内容与本项目无关或未提供得0分； （2）服务要求的理解，此评审满分3分，每完全满足一项评审标准得1分，针对每条评审标准，如存在不合理的方面扣0.3分，针对每条评审标准，内容与本项目无关或未提供得0分。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根据供应商响应文件中的项目实施方案进行综合评价，包含但不限于①桥梁工程技术攻关实施方案；②隧道工程技术攻关实施方案；③路基路面工程技术攻关实施方案；④施工技术建议书实施方案。 二、评审标准： （1）完整性：内容全面详尽，对各方面有详细的描述和说明。 （2）合理性：项目切合实际，进度控制合理、思路清晰，科学合理。 （3）针对性：方案编制紧扣项目特点和采购需求，针对性强，整体性高。 三、赋分标准（满分12分） （1）桥梁工程技术攻关实施方案，此评审满分3分，每完全满足一项评审标准得1分，针对每条评审标准，如存在不合理的方面扣0.3分，针对每条评审标准，内容与本项目无关或未提供得0分； （2）隧道工程技术攻关实施方案，此评审满分3分，每完全满足一项评审标准得1分，针对每条评审标准，如存在不合理的方面扣0.3分，针对每条评审标准，内容与本项目无关或未提供得0分； （3）路基路面工程技术攻关实施方案，此评审满分3分，每完全满足一项评审标准得1分，针对每条评审标准，如存在不合理的方面扣0.3分，针对每条评审标准，内容与本项目无关或未提供得0分； （4）施工技术建议书实施方案，此评审满分3分，每完全满足一项评审标准得1分，针对每条评审标准，如存在不合理的方面扣0.3分，针对每条评审标准，内容与本项目无关或未提供得0分。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项目重点及难点分析</w:t>
            </w:r>
          </w:p>
        </w:tc>
        <w:tc>
          <w:tcPr>
            <w:tcW w:type="dxa" w:w="2492"/>
          </w:tcPr>
          <w:p>
            <w:pPr>
              <w:pStyle w:val="null3"/>
            </w:pPr>
            <w:r>
              <w:rPr>
                <w:rFonts w:ascii="仿宋_GB2312" w:hAnsi="仿宋_GB2312" w:cs="仿宋_GB2312" w:eastAsia="仿宋_GB2312"/>
              </w:rPr>
              <w:t>一、评审内容：供应商应充分结合项目特点对本项目的重点、难点进行分析，并且能够提出解决对策。包含但不限于①桥梁工程重难点分析；②隧道工程重难点分析；③路基路面工程重难点分析。 二、评审标准： （1）合理性：分析内容全面合理，对各方面有详细的描述和说明。 （2）可实施性：切合本项目实际情况，分析清晰、可实施； （3）针对性：分析紧扣项目特点和采购需求，针对性强，整体性高。 三、赋分标准（满分9分） （1）桥梁工程重难点分析，此评审满分3分，每完全满足一项评审标准得1分，针对每条评审标准，如存在不合理的方面扣0.3分，针对每条评审标准，内容与本项目无关或未提供得0分； （2）隧道工程重难点分析，此评审满分3分，每完全满足一项评审标准得1分，针对每条评审标准，如存在不合理的方面扣0.3分，针对每条评审标准，内容与本项目无关或未提供得0分； （3）路基路面工程重难点分析，此评审满分3分，每完全满足一项评审标准得1分，针对每条评审标准，如存在不合理的方面扣0.3分，针对每条评审标准，内容与本项目无关或未提供得0分。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工作进度计划及进度保证措施</w:t>
            </w:r>
          </w:p>
        </w:tc>
        <w:tc>
          <w:tcPr>
            <w:tcW w:type="dxa" w:w="2492"/>
          </w:tcPr>
          <w:p>
            <w:pPr>
              <w:pStyle w:val="null3"/>
            </w:pPr>
            <w:r>
              <w:rPr>
                <w:rFonts w:ascii="仿宋_GB2312" w:hAnsi="仿宋_GB2312" w:cs="仿宋_GB2312" w:eastAsia="仿宋_GB2312"/>
              </w:rPr>
              <w:t>一、评审内容：根据供应商响应标文件中的针对本项目工作任务划分及时间把控，进度计划及进度保证措施进行综合评价，包含但不限于①工作进度计划；②进度保证措施。 二、评审标准： （1）合理性：项目切合实际，进度控制合理、思路清晰，科学合理； （2）可实施性：切合本项目实际情况，计划及措施清晰、可实施； （3）针对性：进度计划紧扣项目特点和采购需求，针对性强，整体性高。 三、赋分标准（满分9分） （1）工作进度计划及关键节点时间把控，此评审满分4.5分，每完全满足一项评审标准得1.5分，针对每条评审标准，如存在不合理的方面扣0.4分，针对每条评审标准，内容与本项目无关或未提供得0分； （2）进度保证措施，此评审满分4.5分，每完全满足一项评审标准得1.5分，针对每条评审标准，如存在不合理的方面扣0.4分，针对每条评审标准，内容与本项目无关或未提供得0分。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质量及安全保证措施</w:t>
            </w:r>
          </w:p>
        </w:tc>
        <w:tc>
          <w:tcPr>
            <w:tcW w:type="dxa" w:w="2492"/>
          </w:tcPr>
          <w:p>
            <w:pPr>
              <w:pStyle w:val="null3"/>
            </w:pPr>
            <w:r>
              <w:rPr>
                <w:rFonts w:ascii="仿宋_GB2312" w:hAnsi="仿宋_GB2312" w:cs="仿宋_GB2312" w:eastAsia="仿宋_GB2312"/>
              </w:rPr>
              <w:t>一、评审内容：供应商根据本项目服务内容及要求编制质量及安全保障措施：有规范的、合理的服务流程及安全管理制度，每个流程环节有质量控制办法，对项目执行过程中的服务质量、技术保证、安全保证、沟通途径有明确说明。供应商切合实际，能充分利用自身资源及相关技术手段保证成果质量及安全，包含但不限于①质量保证措施；②安全保证措施。 二、评审标准： （1）完整性：内容全面，对评审内容中的各项要求有详细描述； （2）可实施性：切合本项目实际情况，实施步骤清晰、合理，可实施； （3）针对性：措施能够紧扣项目实际情况，内容科学合理。 三、赋分标准：（满分9分） （1）质量保证措施，此评审项满分4.5分，每完全满足一条评审标准得1.5分；针对每条评审标准，如存在不合理的方面，扣1分；针对每条评审标准，内容与本项目无关或未提供的，得0分。 （2）安全保证措施，此评审项满分4.5分，每完全满足一条评审标准得1.5分；针对每条评审标准，如存在不合理的方面，扣1分；针对每条评审标准，内容与本项目无关或未提供的，得0分。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服务保障体系</w:t>
            </w:r>
          </w:p>
        </w:tc>
        <w:tc>
          <w:tcPr>
            <w:tcW w:type="dxa" w:w="2492"/>
          </w:tcPr>
          <w:p>
            <w:pPr>
              <w:pStyle w:val="null3"/>
            </w:pPr>
            <w:r>
              <w:rPr>
                <w:rFonts w:ascii="仿宋_GB2312" w:hAnsi="仿宋_GB2312" w:cs="仿宋_GB2312" w:eastAsia="仿宋_GB2312"/>
              </w:rPr>
              <w:t>一、评审内容：根据供应商提供的针对本项目的服务保障体系进行评价。 二、评审标准： （1）完整性：内容全面，与采购人配合度高，对评审内容中的各项要求有详细描述； （2）可实施性：切合本项目实际情况，实施步骤清晰、合理； （3）针对性：方案能够紧扣项目实际情况，内容科学合理。 三、赋分标准：（满分3分） 此评审项满分3分，每完全满足一条评审标准得1分；针对每条评审标准，如存在不合理的方面，扣0.3分；针对每条评审标准，内容与本项目无关或未提供的，得0分。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拟派本项目团队（项目负责人）</w:t>
            </w:r>
          </w:p>
        </w:tc>
        <w:tc>
          <w:tcPr>
            <w:tcW w:type="dxa" w:w="2492"/>
          </w:tcPr>
          <w:p>
            <w:pPr>
              <w:pStyle w:val="null3"/>
            </w:pPr>
            <w:r>
              <w:rPr>
                <w:rFonts w:ascii="仿宋_GB2312" w:hAnsi="仿宋_GB2312" w:cs="仿宋_GB2312" w:eastAsia="仿宋_GB2312"/>
              </w:rPr>
              <w:t>项目负责人（组长）：具备①公路专业正高级工程师技术职称；②10年及以上公路建设管理经历；③担任过1个普通国省干线或高速公路项目负责人或总监，满足以上要求得10分，不满足不得分。在此基础上每增加1个业绩得1分，最多加6分，本评审项最高得16分。 注：提供①人员证书复印件或扫描件②工作经历证明资料③岗位证明资料（以任命书或合同或其他证明材料为准，内容应体现人员名字及岗位）并加盖公章。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拟派本项目团队（除组长外其他各专业人员）</w:t>
            </w:r>
          </w:p>
        </w:tc>
        <w:tc>
          <w:tcPr>
            <w:tcW w:type="dxa" w:w="2492"/>
          </w:tcPr>
          <w:p>
            <w:pPr>
              <w:pStyle w:val="null3"/>
            </w:pPr>
            <w:r>
              <w:rPr>
                <w:rFonts w:ascii="仿宋_GB2312" w:hAnsi="仿宋_GB2312" w:cs="仿宋_GB2312" w:eastAsia="仿宋_GB2312"/>
              </w:rPr>
              <w:t>项目组成员（除组长外其他各专业人员）：满足磋商文件第三章人员配备要求的得10分，每增加1个专业成员得1分，最多加4分，本评审项最高得14分。 注：提供①人员证书复印件或扫描件②工作经历证明资料③岗位证明资料（以任命书或合同或其他证明材料为准，内容应体现人员名字及岗位）并加盖公章。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根据供应商针对本项目提出的合理化建议进行评价。 相关建议全面、科学合理、切实可行得2分； 相关建议一般得1分，未提供不得分。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供应商每提供一个2020年1月1日至今（以合同或创建方案或业主证明及相关资料为准）承担过的品质工程创建的普通国省干线或高速公路项目监理技术咨询的得6分，在此基础上，每增加一份业绩得2分，最高加4分。 注：提供以合同或创建方案或业主证明及相关资料为准复印件并加盖公章。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满足磋商文件要求且磋商价格最低的磋商报价为评标基准价，其价格分为满分。最低磋商报价不是中标的唯一依据。因落实政府采购政策进行价格调整的，以调整后的价格计算评标基准价和磋商报价，价格分按照下列公式计算。 磋商报价得分=（评标基准价／最后磋商报价）×100×10%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