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版本号：HXZK2025ZC042400520250506001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12122热线功能升级</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HXZK2025ZC0424005</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华夏正康工程技术有限公司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华夏正康工程技术有限公司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12122热线功能升级</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HXZK2025ZC0424005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12122热线功能升级</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畅通12122热线服务渠道、节约路况信息发布短信费用，拟升级12122热线系统，实现客户端工单受理、办理，微信公众号推送路况信息。为确保“12122热线功能升级项目”有序推进，高质量完成，将委托专业的监理机构对项目全过程进行监督与管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采购包1（12122热线功能升级）：属于专门面向中小企业采购。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1、营业执照或其他组织：具有独立承担民事责任能力的法人、其他组织或自然人，提供营业执照/事业单位法人证书/非企业专业服务机构执业许可证/自然人身份证。 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2、供应商应授权合法的人员参加磋商全过程：法定代表人直接参加的，提供法定代表人证明及其身份证；授权代表参加的，提供法定代表人授权书（附法定代表人及授权代表身份证）；非法人单位参照执行。 供应商需在项目电子化交易系统中按要求上传相应证明文件并进行电子签章。</w:t>
      </w:r>
    </w:p>
    <w:p>
      <w:pPr>
        <w:pStyle w:val="null3"/>
      </w:pPr>
      <w:r>
        <w:rPr>
          <w:rFonts w:ascii="仿宋_GB2312" w:hAnsi="仿宋_GB2312" w:cs="仿宋_GB2312" w:eastAsia="仿宋_GB2312"/>
        </w:rPr>
        <w:t>3、财务状况：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 供应商需在项目电子化交易系统中按要求上传相应证明文件并进行电子签章。</w:t>
      </w:r>
    </w:p>
    <w:p>
      <w:pPr>
        <w:pStyle w:val="null3"/>
      </w:pPr>
      <w:r>
        <w:rPr>
          <w:rFonts w:ascii="仿宋_GB2312" w:hAnsi="仿宋_GB2312" w:cs="仿宋_GB2312" w:eastAsia="仿宋_GB2312"/>
        </w:rPr>
        <w:t>4、依法缴纳税收证明资料：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 供应商需在项目电子化交易系统中按要求上传相应证明文件并进行电子签章。</w:t>
      </w:r>
    </w:p>
    <w:p>
      <w:pPr>
        <w:pStyle w:val="null3"/>
      </w:pPr>
      <w:r>
        <w:rPr>
          <w:rFonts w:ascii="仿宋_GB2312" w:hAnsi="仿宋_GB2312" w:cs="仿宋_GB2312" w:eastAsia="仿宋_GB2312"/>
        </w:rPr>
        <w:t>5、依法缴纳社会保险证明资料：提供响应文件提交截止时间前一年内至少一个月已缴纳的社会保障资金缴存单据或社保机构开具的社会保险参保缴费情况证明，依法不需要缴纳社会保障资金的单位应提供相关证明材料。 供应商需在项目电子化交易系统中按要求上传相应证明文件并进行电子签章。</w:t>
      </w:r>
    </w:p>
    <w:p>
      <w:pPr>
        <w:pStyle w:val="null3"/>
      </w:pPr>
      <w:r>
        <w:rPr>
          <w:rFonts w:ascii="仿宋_GB2312" w:hAnsi="仿宋_GB2312" w:cs="仿宋_GB2312" w:eastAsia="仿宋_GB2312"/>
        </w:rPr>
        <w:t>6、书面声明：提供参加政府采购活动前三年内在经营活动中没有重大违法记录的书面声明。 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 供应商需在项目电子化交易系统中按要求上传相应证明文件并进行电子签章。</w:t>
      </w:r>
    </w:p>
    <w:p>
      <w:pPr>
        <w:pStyle w:val="null3"/>
      </w:pPr>
      <w:r>
        <w:rPr>
          <w:rFonts w:ascii="仿宋_GB2312" w:hAnsi="仿宋_GB2312" w:cs="仿宋_GB2312" w:eastAsia="仿宋_GB2312"/>
        </w:rPr>
        <w:t>8、控股管理关系：单位负责人为同一人或者存在直接控股、管理关系的不同供应商，不得参加同一合同项下的政府采购活动。 供应商需在项目电子化交易系统中按要求上传相应证明文件并进行电子签章。</w:t>
      </w:r>
    </w:p>
    <w:p>
      <w:pPr>
        <w:pStyle w:val="null3"/>
      </w:pPr>
      <w:r>
        <w:rPr>
          <w:rFonts w:ascii="仿宋_GB2312" w:hAnsi="仿宋_GB2312" w:cs="仿宋_GB2312" w:eastAsia="仿宋_GB2312"/>
        </w:rPr>
        <w:t>9、非联合体磋商：本采购包不接受联合体磋商，供应商提供非联合体磋商承诺书。 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陕西省未央区凤城十一路东段陕西省高速公路收费中心208号。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李媛媛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029-86531245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陕西省西安市新城区幸福北路紫铭小区-北区西门三楼310室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薛淑丹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17791951522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开户名称：华夏正康工程技术有限公司</w:t>
            </w:r>
          </w:p>
          <w:p>
            <w:pPr>
              <w:pStyle w:val="null3"/>
            </w:pPr>
            <w:r>
              <w:rPr>
                <w:rFonts w:ascii="仿宋_GB2312" w:hAnsi="仿宋_GB2312" w:cs="仿宋_GB2312" w:eastAsia="仿宋_GB2312"/>
              </w:rPr>
              <w:t>开户银行：中国建设银行股份有限公司西安兴庆路支行</w:t>
            </w:r>
          </w:p>
          <w:p>
            <w:pPr>
              <w:pStyle w:val="null3"/>
            </w:pPr>
            <w:r>
              <w:rPr>
                <w:rFonts w:ascii="仿宋_GB2312" w:hAnsi="仿宋_GB2312" w:cs="仿宋_GB2312" w:eastAsia="仿宋_GB2312"/>
              </w:rPr>
              <w:t>银行账号：61050173001200002515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代理服务费收费标准：参照国家计委《招标代理机构收费管理暂行办法》（计价格[2002]1980 号）和《国家发展和改革委员会办公厅关于招标代理服务收费有关问题的通知》（发改办价〔2003〕857 号）文件规定的收费标准的89%向中标（成交）供应商收取代理服务费。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华夏正康工程技术有限公司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华夏正康工程技术有限公司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个月试运行期满，供应商应完成过程资料整理并形成验收资料，书面通知收费中心进行验收。收费中心在接到申请并核验资料齐全后15个工作日内，组织会议对供应商提供服务情况进行验收，形成验收意见，正式服务期起计。</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联系人：薛淑丹</w:t>
      </w:r>
    </w:p>
    <w:p>
      <w:pPr>
        <w:pStyle w:val="null3"/>
      </w:pPr>
      <w:r>
        <w:rPr>
          <w:rFonts w:ascii="仿宋_GB2312" w:hAnsi="仿宋_GB2312" w:cs="仿宋_GB2312" w:eastAsia="仿宋_GB2312"/>
        </w:rPr>
        <w:t>联系电话：17791951522</w:t>
      </w:r>
    </w:p>
    <w:p>
      <w:pPr>
        <w:pStyle w:val="null3"/>
      </w:pPr>
      <w:r>
        <w:rPr>
          <w:rFonts w:ascii="仿宋_GB2312" w:hAnsi="仿宋_GB2312" w:cs="仿宋_GB2312" w:eastAsia="仿宋_GB2312"/>
        </w:rPr>
        <w:t>地址：陕西省西安市新城区幸福北路紫铭小区-北区西门三楼310室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畅通12122热线服务渠道、节约路况信息发布短信费用，拟升级12122热线系统，实现客户端工单受理、办理，微信公众号推送路况信息。为确保“12122热线功能升级项目”有序推进，高质量完成，将委托专业的监理机构对项目全过程进行监督与管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910,000.00</w:t>
      </w:r>
    </w:p>
    <w:p>
      <w:pPr>
        <w:pStyle w:val="null3"/>
      </w:pPr>
      <w:r>
        <w:rPr>
          <w:rFonts w:ascii="仿宋_GB2312" w:hAnsi="仿宋_GB2312" w:cs="仿宋_GB2312" w:eastAsia="仿宋_GB2312"/>
        </w:rPr>
        <w:t>采购包最高限价（元）: 910,000.00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12122热线功能升级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标的名称：12122热线功能升级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pPr>
            <w:r>
              <w:rPr>
                <w:rFonts w:ascii="仿宋_GB2312" w:hAnsi="仿宋_GB2312" w:cs="仿宋_GB2312" w:eastAsia="仿宋_GB2312"/>
              </w:rPr>
              <w:t>一、</w:t>
            </w:r>
            <w:r>
              <w:rPr>
                <w:rFonts w:ascii="仿宋_GB2312" w:hAnsi="仿宋_GB2312" w:cs="仿宋_GB2312" w:eastAsia="仿宋_GB2312"/>
              </w:rPr>
              <w:t>功能介绍</w:t>
            </w:r>
            <w:r>
              <w:rPr>
                <w:rFonts w:ascii="仿宋_GB2312" w:hAnsi="仿宋_GB2312" w:cs="仿宋_GB2312" w:eastAsia="仿宋_GB2312"/>
              </w:rPr>
              <w:t>：</w:t>
            </w:r>
          </w:p>
          <w:p>
            <w:pPr>
              <w:pStyle w:val="null3"/>
              <w:ind w:firstLine="400"/>
            </w:pPr>
            <w:r>
              <w:rPr>
                <w:rFonts w:ascii="仿宋_GB2312" w:hAnsi="仿宋_GB2312" w:cs="仿宋_GB2312" w:eastAsia="仿宋_GB2312"/>
              </w:rPr>
              <w:t>（一）路况信息推送功能，是通过</w:t>
            </w:r>
            <w:r>
              <w:rPr>
                <w:rFonts w:ascii="仿宋_GB2312" w:hAnsi="仿宋_GB2312" w:cs="仿宋_GB2312" w:eastAsia="仿宋_GB2312"/>
              </w:rPr>
              <w:t>12122系统实现信息分级分类管理，与综合监控系统融合打通，自动获取事件信息，根据事件等级及人员职能通过微信进行定向推送，推送内容包括事件文字信息、地图展示及事件附近摄像头视频。</w:t>
            </w:r>
          </w:p>
          <w:p>
            <w:pPr>
              <w:pStyle w:val="null3"/>
              <w:ind w:firstLine="400"/>
            </w:pPr>
            <w:r>
              <w:rPr>
                <w:rFonts w:ascii="仿宋_GB2312" w:hAnsi="仿宋_GB2312" w:cs="仿宋_GB2312" w:eastAsia="仿宋_GB2312"/>
              </w:rPr>
              <w:t>（二）客户端自助工单功能，依托</w:t>
            </w:r>
            <w:r>
              <w:rPr>
                <w:rFonts w:ascii="仿宋_GB2312" w:hAnsi="仿宋_GB2312" w:cs="仿宋_GB2312" w:eastAsia="仿宋_GB2312"/>
              </w:rPr>
              <w:t>12122系统实现对微信公众号用户自助提交工单的接收和处理，并通过微信向用户实时推送处理进度和结果。</w:t>
            </w:r>
          </w:p>
          <w:p>
            <w:pPr>
              <w:pStyle w:val="null3"/>
              <w:ind w:firstLine="400"/>
            </w:pPr>
            <w:r>
              <w:rPr>
                <w:rFonts w:ascii="仿宋_GB2312" w:hAnsi="仿宋_GB2312" w:cs="仿宋_GB2312" w:eastAsia="仿宋_GB2312"/>
              </w:rPr>
              <w:t>（三）升级功能将部署在现有</w:t>
            </w:r>
            <w:r>
              <w:rPr>
                <w:rFonts w:ascii="仿宋_GB2312" w:hAnsi="仿宋_GB2312" w:cs="仿宋_GB2312" w:eastAsia="仿宋_GB2312"/>
              </w:rPr>
              <w:t>12122热线系统服务器上， 其运行环境现状和软、硬件资源清单如下：</w:t>
            </w:r>
          </w:p>
          <w:p>
            <w:pPr>
              <w:pStyle w:val="null3"/>
              <w:ind w:firstLine="400"/>
            </w:pPr>
            <w:r>
              <w:rPr>
                <w:rFonts w:ascii="仿宋_GB2312" w:hAnsi="仿宋_GB2312" w:cs="仿宋_GB2312" w:eastAsia="仿宋_GB2312"/>
              </w:rPr>
              <w:t>1.运行环境现状</w:t>
            </w:r>
          </w:p>
          <w:p>
            <w:pPr>
              <w:pStyle w:val="null3"/>
              <w:ind w:firstLine="400"/>
            </w:pPr>
            <w:r>
              <w:rPr>
                <w:rFonts w:ascii="仿宋_GB2312" w:hAnsi="仿宋_GB2312" w:cs="仿宋_GB2312" w:eastAsia="仿宋_GB2312"/>
              </w:rPr>
              <w:t>操作系统：</w:t>
            </w:r>
            <w:r>
              <w:rPr>
                <w:rFonts w:ascii="仿宋_GB2312" w:hAnsi="仿宋_GB2312" w:cs="仿宋_GB2312" w:eastAsia="仿宋_GB2312"/>
              </w:rPr>
              <w:t>Ubuntu22.04 、Windows2012；</w:t>
            </w:r>
          </w:p>
          <w:p>
            <w:pPr>
              <w:pStyle w:val="null3"/>
              <w:ind w:firstLine="400"/>
            </w:pPr>
            <w:r>
              <w:rPr>
                <w:rFonts w:ascii="仿宋_GB2312" w:hAnsi="仿宋_GB2312" w:cs="仿宋_GB2312" w:eastAsia="仿宋_GB2312"/>
              </w:rPr>
              <w:t>数据库：</w:t>
            </w:r>
            <w:r>
              <w:rPr>
                <w:rFonts w:ascii="仿宋_GB2312" w:hAnsi="仿宋_GB2312" w:cs="仿宋_GB2312" w:eastAsia="仿宋_GB2312"/>
              </w:rPr>
              <w:t>MySQL；</w:t>
            </w:r>
          </w:p>
          <w:p>
            <w:pPr>
              <w:pStyle w:val="null3"/>
              <w:ind w:firstLine="400"/>
            </w:pPr>
            <w:r>
              <w:rPr>
                <w:rFonts w:ascii="仿宋_GB2312" w:hAnsi="仿宋_GB2312" w:cs="仿宋_GB2312" w:eastAsia="仿宋_GB2312"/>
              </w:rPr>
              <w:t>缓存数据库：</w:t>
            </w:r>
            <w:r>
              <w:rPr>
                <w:rFonts w:ascii="仿宋_GB2312" w:hAnsi="仿宋_GB2312" w:cs="仿宋_GB2312" w:eastAsia="仿宋_GB2312"/>
              </w:rPr>
              <w:t>Redis；</w:t>
            </w:r>
          </w:p>
          <w:p>
            <w:pPr>
              <w:pStyle w:val="null3"/>
              <w:ind w:firstLine="400"/>
            </w:pPr>
            <w:r>
              <w:rPr>
                <w:rFonts w:ascii="仿宋_GB2312" w:hAnsi="仿宋_GB2312" w:cs="仿宋_GB2312" w:eastAsia="仿宋_GB2312"/>
              </w:rPr>
              <w:t>非关系型数据库：</w:t>
            </w:r>
            <w:r>
              <w:rPr>
                <w:rFonts w:ascii="仿宋_GB2312" w:hAnsi="仿宋_GB2312" w:cs="仿宋_GB2312" w:eastAsia="仿宋_GB2312"/>
              </w:rPr>
              <w:t>Elasticsearch；</w:t>
            </w:r>
          </w:p>
          <w:p>
            <w:pPr>
              <w:pStyle w:val="null3"/>
              <w:ind w:firstLine="400"/>
            </w:pPr>
            <w:r>
              <w:rPr>
                <w:rFonts w:ascii="仿宋_GB2312" w:hAnsi="仿宋_GB2312" w:cs="仿宋_GB2312" w:eastAsia="仿宋_GB2312"/>
              </w:rPr>
              <w:t>中间件：</w:t>
            </w:r>
            <w:r>
              <w:rPr>
                <w:rFonts w:ascii="仿宋_GB2312" w:hAnsi="仿宋_GB2312" w:cs="仿宋_GB2312" w:eastAsia="仿宋_GB2312"/>
              </w:rPr>
              <w:t>Apollo 、Rocketmq 、Minio 、Nginx 、Tomcat、</w:t>
            </w:r>
          </w:p>
          <w:p>
            <w:pPr>
              <w:pStyle w:val="null3"/>
            </w:pPr>
            <w:r>
              <w:rPr>
                <w:rFonts w:ascii="仿宋_GB2312" w:hAnsi="仿宋_GB2312" w:cs="仿宋_GB2312" w:eastAsia="仿宋_GB2312"/>
              </w:rPr>
              <w:t>Eureka 、Harbor 、Kabana。</w:t>
            </w:r>
          </w:p>
          <w:p>
            <w:pPr>
              <w:pStyle w:val="null3"/>
              <w:ind w:firstLine="400"/>
            </w:pPr>
            <w:r>
              <w:rPr>
                <w:rFonts w:ascii="仿宋_GB2312" w:hAnsi="仿宋_GB2312" w:cs="仿宋_GB2312" w:eastAsia="仿宋_GB2312"/>
              </w:rPr>
              <w:t>2.软、硬件资源清单</w:t>
            </w:r>
          </w:p>
          <w:tbl>
            <w:tblPr>
              <w:tblInd w:type="dxa" w:w="105"/>
              <w:tblBorders>
                <w:top w:val="none" w:color="000000" w:sz="4"/>
                <w:left w:val="none" w:color="000000" w:sz="4"/>
                <w:bottom w:val="none" w:color="000000" w:sz="4"/>
                <w:right w:val="none" w:color="000000" w:sz="4"/>
                <w:insideH w:val="none"/>
                <w:insideV w:val="none"/>
              </w:tblBorders>
            </w:tblPr>
            <w:tblGrid>
              <w:gridCol w:w="218"/>
              <w:gridCol w:w="275"/>
              <w:gridCol w:w="1523"/>
              <w:gridCol w:w="246"/>
              <w:gridCol w:w="275"/>
            </w:tblGrid>
            <w:tr>
              <w:tc>
                <w:tcPr>
                  <w:tcW w:type="dxa" w:w="218"/>
                  <w:tcBorders>
                    <w:top w:val="single" w:color="000000" w:sz="8"/>
                    <w:left w:val="single" w:color="000000" w:sz="8"/>
                    <w:bottom w:val="single" w:color="000000" w:sz="8"/>
                    <w:right w:val="single" w:color="000000" w:sz="8"/>
                  </w:tcBorders>
                  <w:shd w:fill="CFCECE"/>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序号</w:t>
                  </w:r>
                </w:p>
              </w:tc>
              <w:tc>
                <w:tcPr>
                  <w:tcW w:type="dxa" w:w="275"/>
                  <w:tcBorders>
                    <w:top w:val="single" w:color="000000" w:sz="8"/>
                    <w:left w:val="single" w:color="000000" w:sz="8"/>
                    <w:bottom w:val="single" w:color="000000" w:sz="8"/>
                    <w:right w:val="single" w:color="000000" w:sz="8"/>
                  </w:tcBorders>
                  <w:shd w:fill="CFCECE"/>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类别</w:t>
                  </w:r>
                </w:p>
              </w:tc>
              <w:tc>
                <w:tcPr>
                  <w:tcW w:type="dxa" w:w="1523"/>
                  <w:tcBorders>
                    <w:top w:val="single" w:color="000000" w:sz="8"/>
                    <w:left w:val="single" w:color="000000" w:sz="8"/>
                    <w:bottom w:val="single" w:color="000000" w:sz="8"/>
                    <w:right w:val="single" w:color="000000" w:sz="8"/>
                  </w:tcBorders>
                  <w:shd w:fill="CFCECE"/>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名称、品牌型号及参数</w:t>
                  </w:r>
                </w:p>
              </w:tc>
              <w:tc>
                <w:tcPr>
                  <w:tcW w:type="dxa" w:w="246"/>
                  <w:tcBorders>
                    <w:top w:val="single" w:color="000000" w:sz="8"/>
                    <w:left w:val="single" w:color="000000" w:sz="8"/>
                    <w:bottom w:val="single" w:color="000000" w:sz="8"/>
                    <w:right w:val="single" w:color="000000" w:sz="8"/>
                  </w:tcBorders>
                  <w:shd w:fill="CFCECE"/>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数量</w:t>
                  </w:r>
                </w:p>
              </w:tc>
              <w:tc>
                <w:tcPr>
                  <w:tcW w:type="dxa" w:w="275"/>
                  <w:tcBorders>
                    <w:top w:val="single" w:color="000000" w:sz="8"/>
                    <w:left w:val="single" w:color="000000" w:sz="8"/>
                    <w:bottom w:val="single" w:color="000000" w:sz="8"/>
                    <w:right w:val="single" w:color="000000" w:sz="8"/>
                  </w:tcBorders>
                  <w:shd w:fill="CFCECE"/>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单位</w:t>
                  </w:r>
                </w:p>
              </w:tc>
            </w:tr>
            <w:tr>
              <w:tc>
                <w:tcPr>
                  <w:tcW w:type="dxa" w:w="218"/>
                  <w:tcBorders>
                    <w:top w:val="none" w:color="000000" w:sz="4"/>
                    <w:left w:val="single" w:color="000000" w:sz="8"/>
                    <w:bottom w:val="single" w:color="000000" w:sz="8"/>
                    <w:right w:val="single" w:color="000000" w:sz="8"/>
                  </w:tcBorders>
                  <w:shd w:fill="F1F1F1"/>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b/>
                    </w:rPr>
                    <w:t>一</w:t>
                  </w:r>
                </w:p>
              </w:tc>
              <w:tc>
                <w:tcPr>
                  <w:tcW w:type="dxa" w:w="2319"/>
                  <w:gridSpan w:val="4"/>
                  <w:tcBorders>
                    <w:top w:val="none" w:color="000000" w:sz="4"/>
                    <w:left w:val="single" w:color="000000" w:sz="8"/>
                    <w:bottom w:val="single" w:color="000000" w:sz="8"/>
                    <w:right w:val="single" w:color="000000" w:sz="8"/>
                  </w:tcBorders>
                  <w:shd w:fill="F1F1F1"/>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b/>
                    </w:rPr>
                    <w:t>软件</w:t>
                  </w:r>
                </w:p>
              </w:tc>
            </w:tr>
            <w:tr>
              <w:tc>
                <w:tcPr>
                  <w:tcW w:type="dxa" w:w="21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1</w:t>
                  </w:r>
                </w:p>
              </w:tc>
              <w:tc>
                <w:tcPr>
                  <w:tcW w:type="dxa" w:w="275"/>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rPr>
                    <w:t>软件</w:t>
                  </w:r>
                </w:p>
                <w:p>
                  <w:pPr>
                    <w:pStyle w:val="null3"/>
                    <w:spacing w:before="120"/>
                    <w:jc w:val="center"/>
                  </w:pPr>
                  <w:r>
                    <w:rPr>
                      <w:rFonts w:ascii="仿宋_GB2312" w:hAnsi="仿宋_GB2312" w:cs="仿宋_GB2312" w:eastAsia="仿宋_GB2312"/>
                      <w:sz w:val="20"/>
                    </w:rPr>
                    <w:t>系统</w:t>
                  </w:r>
                </w:p>
              </w:tc>
              <w:tc>
                <w:tcPr>
                  <w:tcW w:type="dxa" w:w="1523"/>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spacing w:before="180"/>
                    <w:ind w:left="165"/>
                    <w:jc w:val="center"/>
                  </w:pPr>
                  <w:r>
                    <w:rPr>
                      <w:rFonts w:ascii="仿宋_GB2312" w:hAnsi="仿宋_GB2312" w:cs="仿宋_GB2312" w:eastAsia="仿宋_GB2312"/>
                      <w:sz w:val="20"/>
                    </w:rPr>
                    <w:t>陕西交通服务热线</w:t>
                  </w:r>
                  <w:r>
                    <w:rPr>
                      <w:rFonts w:ascii="仿宋_GB2312" w:hAnsi="仿宋_GB2312" w:cs="仿宋_GB2312" w:eastAsia="仿宋_GB2312"/>
                      <w:sz w:val="20"/>
                    </w:rPr>
                    <w:t>12122系统（包括工单管理、回</w:t>
                  </w:r>
                  <w:r>
                    <w:rPr>
                      <w:rFonts w:ascii="仿宋_GB2312" w:hAnsi="仿宋_GB2312" w:cs="仿宋_GB2312" w:eastAsia="仿宋_GB2312"/>
                      <w:sz w:val="20"/>
                    </w:rPr>
                    <w:t>访管理、统计分析、系统管理等子系统）</w:t>
                  </w:r>
                </w:p>
              </w:tc>
              <w:tc>
                <w:tcPr>
                  <w:tcW w:type="dxa" w:w="246"/>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1</w:t>
                  </w:r>
                </w:p>
              </w:tc>
              <w:tc>
                <w:tcPr>
                  <w:tcW w:type="dxa" w:w="275"/>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套</w:t>
                  </w:r>
                </w:p>
              </w:tc>
            </w:tr>
            <w:tr>
              <w:tc>
                <w:tcPr>
                  <w:tcW w:type="dxa" w:w="218"/>
                  <w:tcBorders>
                    <w:top w:val="none" w:color="000000" w:sz="4"/>
                    <w:left w:val="single" w:color="000000" w:sz="8"/>
                    <w:bottom w:val="single" w:color="000000" w:sz="8"/>
                    <w:right w:val="single" w:color="000000" w:sz="8"/>
                  </w:tcBorders>
                  <w:shd w:fill="F1F1F1"/>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b/>
                    </w:rPr>
                    <w:t>二</w:t>
                  </w:r>
                </w:p>
              </w:tc>
              <w:tc>
                <w:tcPr>
                  <w:tcW w:type="dxa" w:w="2319"/>
                  <w:gridSpan w:val="4"/>
                  <w:tcBorders>
                    <w:top w:val="none" w:color="000000" w:sz="4"/>
                    <w:left w:val="single" w:color="000000" w:sz="8"/>
                    <w:bottom w:val="single" w:color="000000" w:sz="8"/>
                    <w:right w:val="single" w:color="000000" w:sz="8"/>
                  </w:tcBorders>
                  <w:shd w:fill="F1F1F1"/>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0"/>
                      <w:b/>
                    </w:rPr>
                    <w:t>硬件</w:t>
                  </w:r>
                </w:p>
              </w:tc>
            </w:tr>
            <w:tr>
              <w:tc>
                <w:tcPr>
                  <w:tcW w:type="dxa" w:w="21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1</w:t>
                  </w:r>
                </w:p>
              </w:tc>
              <w:tc>
                <w:tcPr>
                  <w:tcW w:type="dxa" w:w="275"/>
                  <w:vMerge w:val="restart"/>
                  <w:tcBorders>
                    <w:top w:val="none" w:color="000000" w:sz="4"/>
                    <w:left w:val="single" w:color="000000" w:sz="8"/>
                    <w:bottom w:val="none" w:color="000000" w:sz="4"/>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网络</w:t>
                  </w:r>
                </w:p>
                <w:p>
                  <w:pPr>
                    <w:pStyle w:val="null3"/>
                    <w:spacing w:before="120"/>
                    <w:jc w:val="center"/>
                  </w:pPr>
                  <w:r>
                    <w:rPr>
                      <w:rFonts w:ascii="仿宋_GB2312" w:hAnsi="仿宋_GB2312" w:cs="仿宋_GB2312" w:eastAsia="仿宋_GB2312"/>
                      <w:sz w:val="20"/>
                    </w:rPr>
                    <w:t>设备</w:t>
                  </w:r>
                </w:p>
              </w:tc>
              <w:tc>
                <w:tcPr>
                  <w:tcW w:type="dxa" w:w="1523"/>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中继网关：毅航</w:t>
                  </w:r>
                  <w:r>
                    <w:rPr>
                      <w:rFonts w:ascii="仿宋_GB2312" w:hAnsi="仿宋_GB2312" w:cs="仿宋_GB2312" w:eastAsia="仿宋_GB2312"/>
                      <w:sz w:val="20"/>
                    </w:rPr>
                    <w:t>/TG1000</w:t>
                  </w:r>
                </w:p>
              </w:tc>
              <w:tc>
                <w:tcPr>
                  <w:tcW w:type="dxa" w:w="246"/>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2</w:t>
                  </w:r>
                </w:p>
              </w:tc>
              <w:tc>
                <w:tcPr>
                  <w:tcW w:type="dxa" w:w="275"/>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台</w:t>
                  </w:r>
                </w:p>
              </w:tc>
            </w:tr>
            <w:tr>
              <w:tc>
                <w:tcPr>
                  <w:tcW w:type="dxa" w:w="21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2</w:t>
                  </w:r>
                </w:p>
              </w:tc>
              <w:tc>
                <w:tcPr>
                  <w:tcW w:type="dxa" w:w="275"/>
                  <w:vMerge/>
                  <w:tcBorders>
                    <w:top w:val="none" w:color="000000" w:sz="4"/>
                    <w:left w:val="single" w:color="000000" w:sz="8"/>
                    <w:bottom w:val="none" w:color="000000" w:sz="4"/>
                    <w:right w:val="single" w:color="000000" w:sz="8"/>
                  </w:tcBorders>
                </w:tcPr>
                <w:p/>
              </w:tc>
              <w:tc>
                <w:tcPr>
                  <w:tcW w:type="dxa" w:w="1523"/>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华为</w:t>
                  </w:r>
                  <w:r>
                    <w:rPr>
                      <w:rFonts w:ascii="仿宋_GB2312" w:hAnsi="仿宋_GB2312" w:cs="仿宋_GB2312" w:eastAsia="仿宋_GB2312"/>
                      <w:sz w:val="20"/>
                    </w:rPr>
                    <w:t>CE6855-48S6Q-HI超融合交换机：吞吐量</w:t>
                  </w:r>
                  <w:r>
                    <w:rPr>
                      <w:rFonts w:ascii="仿宋_GB2312" w:hAnsi="仿宋_GB2312" w:cs="仿宋_GB2312" w:eastAsia="仿宋_GB2312"/>
                    </w:rPr>
                    <w:t xml:space="preserve"> </w:t>
                  </w:r>
                  <w:r>
                    <w:rPr>
                      <w:rFonts w:ascii="仿宋_GB2312" w:hAnsi="仿宋_GB2312" w:cs="仿宋_GB2312" w:eastAsia="仿宋_GB2312"/>
                      <w:sz w:val="20"/>
                    </w:rPr>
                    <w:t>≥</w:t>
                  </w:r>
                  <w:r>
                    <w:rPr>
                      <w:rFonts w:ascii="仿宋_GB2312" w:hAnsi="仿宋_GB2312" w:cs="仿宋_GB2312" w:eastAsia="仿宋_GB2312"/>
                      <w:sz w:val="20"/>
                    </w:rPr>
                    <w:t>2Tbps，包转发率</w:t>
                  </w:r>
                  <w:r>
                    <w:rPr>
                      <w:rFonts w:ascii="仿宋_GB2312" w:hAnsi="仿宋_GB2312" w:cs="仿宋_GB2312" w:eastAsia="仿宋_GB2312"/>
                    </w:rPr>
                    <w:t xml:space="preserve"> </w:t>
                  </w:r>
                  <w:r>
                    <w:rPr>
                      <w:rFonts w:ascii="仿宋_GB2312" w:hAnsi="仿宋_GB2312" w:cs="仿宋_GB2312" w:eastAsia="仿宋_GB2312"/>
                      <w:sz w:val="20"/>
                    </w:rPr>
                    <w:t>≥</w:t>
                  </w:r>
                  <w:r>
                    <w:rPr>
                      <w:rFonts w:ascii="仿宋_GB2312" w:hAnsi="仿宋_GB2312" w:cs="仿宋_GB2312" w:eastAsia="仿宋_GB2312"/>
                    </w:rPr>
                    <w:t xml:space="preserve"> </w:t>
                  </w:r>
                  <w:r>
                    <w:rPr>
                      <w:rFonts w:ascii="仿宋_GB2312" w:hAnsi="仿宋_GB2312" w:cs="仿宋_GB2312" w:eastAsia="仿宋_GB2312"/>
                      <w:sz w:val="20"/>
                    </w:rPr>
                    <w:t>1000Mpps。配备48万兆电</w:t>
                  </w:r>
                  <w:r>
                    <w:rPr>
                      <w:rFonts w:ascii="仿宋_GB2312" w:hAnsi="仿宋_GB2312" w:cs="仿宋_GB2312" w:eastAsia="仿宋_GB2312"/>
                    </w:rPr>
                    <w:t xml:space="preserve"> </w:t>
                  </w:r>
                  <w:r>
                    <w:rPr>
                      <w:rFonts w:ascii="仿宋_GB2312" w:hAnsi="仿宋_GB2312" w:cs="仿宋_GB2312" w:eastAsia="仿宋_GB2312"/>
                      <w:sz w:val="20"/>
                    </w:rPr>
                    <w:t>口，</w:t>
                  </w:r>
                  <w:r>
                    <w:rPr>
                      <w:rFonts w:ascii="仿宋_GB2312" w:hAnsi="仿宋_GB2312" w:cs="仿宋_GB2312" w:eastAsia="仿宋_GB2312"/>
                      <w:sz w:val="20"/>
                    </w:rPr>
                    <w:t>6</w:t>
                  </w:r>
                  <w:r>
                    <w:rPr>
                      <w:rFonts w:ascii="仿宋_GB2312" w:hAnsi="仿宋_GB2312" w:cs="仿宋_GB2312" w:eastAsia="仿宋_GB2312"/>
                      <w:sz w:val="20"/>
                    </w:rPr>
                    <w:t>个</w:t>
                  </w:r>
                  <w:r>
                    <w:rPr>
                      <w:rFonts w:ascii="仿宋_GB2312" w:hAnsi="仿宋_GB2312" w:cs="仿宋_GB2312" w:eastAsia="仿宋_GB2312"/>
                      <w:sz w:val="20"/>
                    </w:rPr>
                    <w:t>40G光</w:t>
                  </w:r>
                  <w:r>
                    <w:rPr>
                      <w:rFonts w:ascii="仿宋_GB2312" w:hAnsi="仿宋_GB2312" w:cs="仿宋_GB2312" w:eastAsia="仿宋_GB2312"/>
                    </w:rPr>
                    <w:t xml:space="preserve"> </w:t>
                  </w:r>
                  <w:r>
                    <w:rPr>
                      <w:rFonts w:ascii="仿宋_GB2312" w:hAnsi="仿宋_GB2312" w:cs="仿宋_GB2312" w:eastAsia="仿宋_GB2312"/>
                      <w:sz w:val="20"/>
                    </w:rPr>
                    <w:t>口，</w:t>
                  </w:r>
                  <w:r>
                    <w:rPr>
                      <w:rFonts w:ascii="仿宋_GB2312" w:hAnsi="仿宋_GB2312" w:cs="仿宋_GB2312" w:eastAsia="仿宋_GB2312"/>
                      <w:sz w:val="20"/>
                    </w:rPr>
                    <w:t>6个40G光模块，2个电</w:t>
                  </w:r>
                  <w:r>
                    <w:rPr>
                      <w:rFonts w:ascii="仿宋_GB2312" w:hAnsi="仿宋_GB2312" w:cs="仿宋_GB2312" w:eastAsia="仿宋_GB2312"/>
                      <w:sz w:val="20"/>
                    </w:rPr>
                    <w:t>源。</w:t>
                  </w:r>
                </w:p>
              </w:tc>
              <w:tc>
                <w:tcPr>
                  <w:tcW w:type="dxa" w:w="24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1</w:t>
                  </w:r>
                </w:p>
              </w:tc>
              <w:tc>
                <w:tcPr>
                  <w:tcW w:type="dxa" w:w="275"/>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台</w:t>
                  </w:r>
                </w:p>
              </w:tc>
            </w:tr>
            <w:tr>
              <w:tc>
                <w:tcPr>
                  <w:tcW w:type="dxa" w:w="21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3</w:t>
                  </w:r>
                </w:p>
              </w:tc>
              <w:tc>
                <w:tcPr>
                  <w:tcW w:type="dxa" w:w="275"/>
                  <w:vMerge/>
                  <w:tcBorders>
                    <w:top w:val="none" w:color="000000" w:sz="4"/>
                    <w:left w:val="single" w:color="000000" w:sz="8"/>
                    <w:bottom w:val="none" w:color="000000" w:sz="4"/>
                    <w:right w:val="single" w:color="000000" w:sz="8"/>
                  </w:tcBorders>
                </w:tcPr>
                <w:p/>
              </w:tc>
              <w:tc>
                <w:tcPr>
                  <w:tcW w:type="dxa" w:w="1523"/>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left="120"/>
                    <w:jc w:val="center"/>
                  </w:pPr>
                  <w:r>
                    <w:rPr>
                      <w:rFonts w:ascii="仿宋_GB2312" w:hAnsi="仿宋_GB2312" w:cs="仿宋_GB2312" w:eastAsia="仿宋_GB2312"/>
                      <w:sz w:val="20"/>
                    </w:rPr>
                    <w:t>华为</w:t>
                  </w:r>
                  <w:r>
                    <w:rPr>
                      <w:rFonts w:ascii="仿宋_GB2312" w:hAnsi="仿宋_GB2312" w:cs="仿宋_GB2312" w:eastAsia="仿宋_GB2312"/>
                      <w:sz w:val="20"/>
                    </w:rPr>
                    <w:t>5720S-28X-SI-AC汇聚交换机：24电</w:t>
                  </w:r>
                  <w:r>
                    <w:rPr>
                      <w:rFonts w:ascii="仿宋_GB2312" w:hAnsi="仿宋_GB2312" w:cs="仿宋_GB2312" w:eastAsia="仿宋_GB2312"/>
                    </w:rPr>
                    <w:t xml:space="preserve"> </w:t>
                  </w:r>
                  <w:r>
                    <w:rPr>
                      <w:rFonts w:ascii="仿宋_GB2312" w:hAnsi="仿宋_GB2312" w:cs="仿宋_GB2312" w:eastAsia="仿宋_GB2312"/>
                      <w:sz w:val="20"/>
                    </w:rPr>
                    <w:t>口、</w:t>
                  </w:r>
                  <w:r>
                    <w:rPr>
                      <w:rFonts w:ascii="仿宋_GB2312" w:hAnsi="仿宋_GB2312" w:cs="仿宋_GB2312" w:eastAsia="仿宋_GB2312"/>
                      <w:sz w:val="20"/>
                    </w:rPr>
                    <w:t>4光</w:t>
                  </w:r>
                  <w:r>
                    <w:rPr>
                      <w:rFonts w:ascii="仿宋_GB2312" w:hAnsi="仿宋_GB2312" w:cs="仿宋_GB2312" w:eastAsia="仿宋_GB2312"/>
                    </w:rPr>
                    <w:t xml:space="preserve"> </w:t>
                  </w:r>
                  <w:r>
                    <w:rPr>
                      <w:rFonts w:ascii="仿宋_GB2312" w:hAnsi="仿宋_GB2312" w:cs="仿宋_GB2312" w:eastAsia="仿宋_GB2312"/>
                      <w:sz w:val="20"/>
                    </w:rPr>
                    <w:t>口</w:t>
                  </w:r>
                </w:p>
              </w:tc>
              <w:tc>
                <w:tcPr>
                  <w:tcW w:type="dxa" w:w="24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1</w:t>
                  </w:r>
                </w:p>
              </w:tc>
              <w:tc>
                <w:tcPr>
                  <w:tcW w:type="dxa" w:w="275"/>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台</w:t>
                  </w:r>
                </w:p>
              </w:tc>
            </w:tr>
            <w:tr>
              <w:tc>
                <w:tcPr>
                  <w:tcW w:type="dxa" w:w="21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4</w:t>
                  </w:r>
                </w:p>
              </w:tc>
              <w:tc>
                <w:tcPr>
                  <w:tcW w:type="dxa" w:w="275"/>
                  <w:vMerge/>
                  <w:tcBorders>
                    <w:top w:val="none" w:color="000000" w:sz="4"/>
                    <w:left w:val="single" w:color="000000" w:sz="8"/>
                    <w:bottom w:val="none" w:color="000000" w:sz="4"/>
                    <w:right w:val="single" w:color="000000" w:sz="8"/>
                  </w:tcBorders>
                </w:tcPr>
                <w:p/>
              </w:tc>
              <w:tc>
                <w:tcPr>
                  <w:tcW w:type="dxa" w:w="1523"/>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TP LINK TL-SG1024DT交换机：24口千兆电</w:t>
                  </w:r>
                </w:p>
              </w:tc>
              <w:tc>
                <w:tcPr>
                  <w:tcW w:type="dxa" w:w="24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2</w:t>
                  </w:r>
                </w:p>
              </w:tc>
              <w:tc>
                <w:tcPr>
                  <w:tcW w:type="dxa" w:w="275"/>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台</w:t>
                  </w:r>
                </w:p>
              </w:tc>
            </w:tr>
            <w:tr>
              <w:tc>
                <w:tcPr>
                  <w:tcW w:type="dxa" w:w="21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345"/>
                    <w:jc w:val="center"/>
                  </w:pPr>
                  <w:r>
                    <w:rPr>
                      <w:rFonts w:ascii="仿宋_GB2312" w:hAnsi="仿宋_GB2312" w:cs="仿宋_GB2312" w:eastAsia="仿宋_GB2312"/>
                      <w:sz w:val="20"/>
                    </w:rPr>
                    <w:t>5</w:t>
                  </w:r>
                </w:p>
              </w:tc>
              <w:tc>
                <w:tcPr>
                  <w:tcW w:type="dxa" w:w="275"/>
                  <w:vMerge w:val="restart"/>
                  <w:tcBorders>
                    <w:top w:val="none" w:color="000000" w:sz="4"/>
                    <w:left w:val="single" w:color="000000" w:sz="8"/>
                    <w:bottom w:val="none" w:color="000000" w:sz="4"/>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安全</w:t>
                  </w:r>
                </w:p>
                <w:p>
                  <w:pPr>
                    <w:pStyle w:val="null3"/>
                    <w:spacing w:before="105"/>
                    <w:jc w:val="center"/>
                  </w:pPr>
                  <w:r>
                    <w:rPr>
                      <w:rFonts w:ascii="仿宋_GB2312" w:hAnsi="仿宋_GB2312" w:cs="仿宋_GB2312" w:eastAsia="仿宋_GB2312"/>
                      <w:sz w:val="20"/>
                    </w:rPr>
                    <w:t>设备</w:t>
                  </w:r>
                </w:p>
              </w:tc>
              <w:tc>
                <w:tcPr>
                  <w:tcW w:type="dxa" w:w="1523"/>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left="120"/>
                    <w:jc w:val="center"/>
                  </w:pPr>
                  <w:r>
                    <w:rPr>
                      <w:rFonts w:ascii="仿宋_GB2312" w:hAnsi="仿宋_GB2312" w:cs="仿宋_GB2312" w:eastAsia="仿宋_GB2312"/>
                      <w:sz w:val="20"/>
                    </w:rPr>
                    <w:t>深信服</w:t>
                  </w:r>
                  <w:r>
                    <w:rPr>
                      <w:rFonts w:ascii="仿宋_GB2312" w:hAnsi="仿宋_GB2312" w:cs="仿宋_GB2312" w:eastAsia="仿宋_GB2312"/>
                      <w:sz w:val="20"/>
                    </w:rPr>
                    <w:t>AF-1000-FA40防火墙：2U、6千兆电口4万兆</w:t>
                  </w:r>
                  <w:r>
                    <w:rPr>
                      <w:rFonts w:ascii="仿宋_GB2312" w:hAnsi="仿宋_GB2312" w:cs="仿宋_GB2312" w:eastAsia="仿宋_GB2312"/>
                      <w:sz w:val="20"/>
                    </w:rPr>
                    <w:t>光</w:t>
                  </w:r>
                  <w:r>
                    <w:rPr>
                      <w:rFonts w:ascii="仿宋_GB2312" w:hAnsi="仿宋_GB2312" w:cs="仿宋_GB2312" w:eastAsia="仿宋_GB2312"/>
                    </w:rPr>
                    <w:t xml:space="preserve"> </w:t>
                  </w:r>
                  <w:r>
                    <w:rPr>
                      <w:rFonts w:ascii="仿宋_GB2312" w:hAnsi="仿宋_GB2312" w:cs="仿宋_GB2312" w:eastAsia="仿宋_GB2312"/>
                      <w:sz w:val="20"/>
                    </w:rPr>
                    <w:t>口，含应用规则库、</w:t>
                  </w:r>
                  <w:r>
                    <w:rPr>
                      <w:rFonts w:ascii="仿宋_GB2312" w:hAnsi="仿宋_GB2312" w:cs="仿宋_GB2312" w:eastAsia="仿宋_GB2312"/>
                      <w:sz w:val="20"/>
                    </w:rPr>
                    <w:t>VPN 。</w:t>
                  </w:r>
                </w:p>
              </w:tc>
              <w:tc>
                <w:tcPr>
                  <w:tcW w:type="dxa" w:w="24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1</w:t>
                  </w:r>
                </w:p>
              </w:tc>
              <w:tc>
                <w:tcPr>
                  <w:tcW w:type="dxa" w:w="275"/>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台</w:t>
                  </w:r>
                </w:p>
              </w:tc>
            </w:tr>
            <w:tr>
              <w:tc>
                <w:tcPr>
                  <w:tcW w:type="dxa" w:w="21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6</w:t>
                  </w:r>
                </w:p>
              </w:tc>
              <w:tc>
                <w:tcPr>
                  <w:tcW w:type="dxa" w:w="275"/>
                  <w:vMerge/>
                  <w:tcBorders>
                    <w:top w:val="none" w:color="000000" w:sz="4"/>
                    <w:left w:val="single" w:color="000000" w:sz="8"/>
                    <w:bottom w:val="none" w:color="000000" w:sz="4"/>
                    <w:right w:val="single" w:color="000000" w:sz="8"/>
                  </w:tcBorders>
                </w:tcPr>
                <w:p/>
              </w:tc>
              <w:tc>
                <w:tcPr>
                  <w:tcW w:type="dxa" w:w="1523"/>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绿盟科技</w:t>
                  </w:r>
                  <w:r>
                    <w:rPr>
                      <w:rFonts w:ascii="仿宋_GB2312" w:hAnsi="仿宋_GB2312" w:cs="仿宋_GB2312" w:eastAsia="仿宋_GB2312"/>
                      <w:sz w:val="20"/>
                    </w:rPr>
                    <w:t>WAFNX3WEB应用防护系统：1U单电源，</w:t>
                  </w:r>
                  <w:r>
                    <w:rPr>
                      <w:rFonts w:ascii="仿宋_GB2312" w:hAnsi="仿宋_GB2312" w:cs="仿宋_GB2312" w:eastAsia="仿宋_GB2312"/>
                      <w:sz w:val="20"/>
                    </w:rPr>
                    <w:t>2*USB接</w:t>
                  </w:r>
                  <w:r>
                    <w:rPr>
                      <w:rFonts w:ascii="仿宋_GB2312" w:hAnsi="仿宋_GB2312" w:cs="仿宋_GB2312" w:eastAsia="仿宋_GB2312"/>
                    </w:rPr>
                    <w:t xml:space="preserve"> </w:t>
                  </w:r>
                  <w:r>
                    <w:rPr>
                      <w:rFonts w:ascii="仿宋_GB2312" w:hAnsi="仿宋_GB2312" w:cs="仿宋_GB2312" w:eastAsia="仿宋_GB2312"/>
                      <w:sz w:val="20"/>
                    </w:rPr>
                    <w:t>口，</w:t>
                  </w:r>
                  <w:r>
                    <w:rPr>
                      <w:rFonts w:ascii="仿宋_GB2312" w:hAnsi="仿宋_GB2312" w:cs="仿宋_GB2312" w:eastAsia="仿宋_GB2312"/>
                      <w:sz w:val="20"/>
                    </w:rPr>
                    <w:t>6个千兆电</w:t>
                  </w:r>
                  <w:r>
                    <w:rPr>
                      <w:rFonts w:ascii="仿宋_GB2312" w:hAnsi="仿宋_GB2312" w:cs="仿宋_GB2312" w:eastAsia="仿宋_GB2312"/>
                    </w:rPr>
                    <w:t xml:space="preserve"> </w:t>
                  </w:r>
                  <w:r>
                    <w:rPr>
                      <w:rFonts w:ascii="仿宋_GB2312" w:hAnsi="仿宋_GB2312" w:cs="仿宋_GB2312" w:eastAsia="仿宋_GB2312"/>
                      <w:sz w:val="20"/>
                    </w:rPr>
                    <w:t>口，包括：</w:t>
                  </w:r>
                  <w:r>
                    <w:rPr>
                      <w:rFonts w:ascii="仿宋_GB2312" w:hAnsi="仿宋_GB2312" w:cs="仿宋_GB2312" w:eastAsia="仿宋_GB2312"/>
                      <w:sz w:val="20"/>
                    </w:rPr>
                    <w:t>1*RJ45串</w:t>
                  </w:r>
                  <w:r>
                    <w:rPr>
                      <w:rFonts w:ascii="仿宋_GB2312" w:hAnsi="仿宋_GB2312" w:cs="仿宋_GB2312" w:eastAsia="仿宋_GB2312"/>
                    </w:rPr>
                    <w:t xml:space="preserve"> </w:t>
                  </w:r>
                  <w:r>
                    <w:rPr>
                      <w:rFonts w:ascii="仿宋_GB2312" w:hAnsi="仿宋_GB2312" w:cs="仿宋_GB2312" w:eastAsia="仿宋_GB2312"/>
                      <w:sz w:val="20"/>
                    </w:rPr>
                    <w:t>口，</w:t>
                  </w:r>
                  <w:r>
                    <w:rPr>
                      <w:rFonts w:ascii="仿宋_GB2312" w:hAnsi="仿宋_GB2312" w:cs="仿宋_GB2312" w:eastAsia="仿宋_GB2312"/>
                      <w:sz w:val="20"/>
                    </w:rPr>
                    <w:t>1*GE</w:t>
                  </w:r>
                  <w:r>
                    <w:rPr>
                      <w:rFonts w:ascii="仿宋_GB2312" w:hAnsi="仿宋_GB2312" w:cs="仿宋_GB2312" w:eastAsia="仿宋_GB2312"/>
                      <w:sz w:val="20"/>
                    </w:rPr>
                    <w:t>管理</w:t>
                  </w:r>
                  <w:r>
                    <w:rPr>
                      <w:rFonts w:ascii="仿宋_GB2312" w:hAnsi="仿宋_GB2312" w:cs="仿宋_GB2312" w:eastAsia="仿宋_GB2312"/>
                    </w:rPr>
                    <w:t xml:space="preserve"> </w:t>
                  </w:r>
                  <w:r>
                    <w:rPr>
                      <w:rFonts w:ascii="仿宋_GB2312" w:hAnsi="仿宋_GB2312" w:cs="仿宋_GB2312" w:eastAsia="仿宋_GB2312"/>
                      <w:sz w:val="20"/>
                    </w:rPr>
                    <w:t>口，</w:t>
                  </w:r>
                  <w:r>
                    <w:rPr>
                      <w:rFonts w:ascii="仿宋_GB2312" w:hAnsi="仿宋_GB2312" w:cs="仿宋_GB2312" w:eastAsia="仿宋_GB2312"/>
                      <w:sz w:val="20"/>
                    </w:rPr>
                    <w:t>4*GE电</w:t>
                  </w:r>
                  <w:r>
                    <w:rPr>
                      <w:rFonts w:ascii="仿宋_GB2312" w:hAnsi="仿宋_GB2312" w:cs="仿宋_GB2312" w:eastAsia="仿宋_GB2312"/>
                    </w:rPr>
                    <w:t xml:space="preserve"> </w:t>
                  </w:r>
                  <w:r>
                    <w:rPr>
                      <w:rFonts w:ascii="仿宋_GB2312" w:hAnsi="仿宋_GB2312" w:cs="仿宋_GB2312" w:eastAsia="仿宋_GB2312"/>
                      <w:sz w:val="20"/>
                    </w:rPr>
                    <w:t>口</w:t>
                  </w:r>
                  <w:r>
                    <w:rPr>
                      <w:rFonts w:ascii="仿宋_GB2312" w:hAnsi="仿宋_GB2312" w:cs="仿宋_GB2312" w:eastAsia="仿宋_GB2312"/>
                      <w:sz w:val="20"/>
                    </w:rPr>
                    <w:t>（</w:t>
                  </w:r>
                  <w:r>
                    <w:rPr>
                      <w:rFonts w:ascii="仿宋_GB2312" w:hAnsi="仿宋_GB2312" w:cs="仿宋_GB2312" w:eastAsia="仿宋_GB2312"/>
                      <w:sz w:val="20"/>
                    </w:rPr>
                    <w:t>Bypass）。</w:t>
                  </w:r>
                </w:p>
              </w:tc>
              <w:tc>
                <w:tcPr>
                  <w:tcW w:type="dxa" w:w="24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1</w:t>
                  </w:r>
                </w:p>
              </w:tc>
              <w:tc>
                <w:tcPr>
                  <w:tcW w:type="dxa" w:w="275"/>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台</w:t>
                  </w:r>
                </w:p>
              </w:tc>
            </w:tr>
            <w:tr>
              <w:tc>
                <w:tcPr>
                  <w:tcW w:type="dxa" w:w="21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7</w:t>
                  </w:r>
                </w:p>
              </w:tc>
              <w:tc>
                <w:tcPr>
                  <w:tcW w:type="dxa" w:w="275"/>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物理</w:t>
                  </w:r>
                  <w:r>
                    <w:rPr>
                      <w:rFonts w:ascii="仿宋_GB2312" w:hAnsi="仿宋_GB2312" w:cs="仿宋_GB2312" w:eastAsia="仿宋_GB2312"/>
                      <w:sz w:val="20"/>
                    </w:rPr>
                    <w:t xml:space="preserve">  </w:t>
                  </w:r>
                  <w:r>
                    <w:rPr>
                      <w:rFonts w:ascii="仿宋_GB2312" w:hAnsi="仿宋_GB2312" w:cs="仿宋_GB2312" w:eastAsia="仿宋_GB2312"/>
                      <w:sz w:val="20"/>
                    </w:rPr>
                    <w:t>服务器</w:t>
                  </w:r>
                </w:p>
              </w:tc>
              <w:tc>
                <w:tcPr>
                  <w:tcW w:type="dxa" w:w="1523"/>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华为</w:t>
                  </w:r>
                  <w:r>
                    <w:rPr>
                      <w:rFonts w:ascii="仿宋_GB2312" w:hAnsi="仿宋_GB2312" w:cs="仿宋_GB2312" w:eastAsia="仿宋_GB2312"/>
                      <w:sz w:val="20"/>
                    </w:rPr>
                    <w:t>E9000超融合一体机：6节点计算、2 节点</w:t>
                  </w:r>
                  <w:r>
                    <w:rPr>
                      <w:rFonts w:ascii="仿宋_GB2312" w:hAnsi="仿宋_GB2312" w:cs="仿宋_GB2312" w:eastAsia="仿宋_GB2312"/>
                      <w:sz w:val="20"/>
                    </w:rPr>
                    <w:t>存储；</w:t>
                  </w:r>
                  <w:r>
                    <w:rPr>
                      <w:rFonts w:ascii="仿宋_GB2312" w:hAnsi="仿宋_GB2312" w:cs="仿宋_GB2312" w:eastAsia="仿宋_GB2312"/>
                      <w:sz w:val="20"/>
                    </w:rPr>
                    <w:t>6个计算节点；</w:t>
                  </w:r>
                </w:p>
              </w:tc>
              <w:tc>
                <w:tcPr>
                  <w:tcW w:type="dxa" w:w="24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1</w:t>
                  </w:r>
                </w:p>
              </w:tc>
              <w:tc>
                <w:tcPr>
                  <w:tcW w:type="dxa" w:w="275"/>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台</w:t>
                  </w:r>
                </w:p>
              </w:tc>
            </w:tr>
          </w:tbl>
          <w:p>
            <w:pPr>
              <w:pStyle w:val="null3"/>
              <w:ind w:left="405"/>
            </w:pPr>
            <w:r>
              <w:rPr>
                <w:rFonts w:ascii="仿宋_GB2312" w:hAnsi="仿宋_GB2312" w:cs="仿宋_GB2312" w:eastAsia="仿宋_GB2312"/>
              </w:rPr>
              <w:t>二、服务内容</w:t>
            </w:r>
          </w:p>
          <w:p>
            <w:pPr>
              <w:pStyle w:val="null3"/>
              <w:ind w:left="405"/>
            </w:pPr>
            <w:r>
              <w:rPr>
                <w:rFonts w:ascii="仿宋_GB2312" w:hAnsi="仿宋_GB2312" w:cs="仿宋_GB2312" w:eastAsia="仿宋_GB2312"/>
              </w:rPr>
              <w:t>（一）路况信息推送功能开发</w:t>
            </w:r>
          </w:p>
          <w:p>
            <w:pPr>
              <w:pStyle w:val="null3"/>
              <w:ind w:firstLine="400"/>
            </w:pPr>
            <w:r>
              <w:rPr>
                <w:rFonts w:ascii="仿宋_GB2312" w:hAnsi="仿宋_GB2312" w:cs="仿宋_GB2312" w:eastAsia="仿宋_GB2312"/>
              </w:rPr>
              <w:t>包括用户管理后台开发，路况信息编辑、汇聚与发布开发，综合监控系统对接与数据接口开发。</w:t>
            </w:r>
          </w:p>
          <w:p>
            <w:pPr>
              <w:pStyle w:val="null3"/>
              <w:ind w:left="405"/>
            </w:pPr>
            <w:r>
              <w:rPr>
                <w:rFonts w:ascii="仿宋_GB2312" w:hAnsi="仿宋_GB2312" w:cs="仿宋_GB2312" w:eastAsia="仿宋_GB2312"/>
              </w:rPr>
              <w:t>（二）客户端自助工单功能开发</w:t>
            </w:r>
          </w:p>
          <w:p>
            <w:pPr>
              <w:pStyle w:val="null3"/>
              <w:ind w:firstLine="400"/>
            </w:pPr>
            <w:r>
              <w:rPr>
                <w:rFonts w:ascii="仿宋_GB2312" w:hAnsi="仿宋_GB2312" w:cs="仿宋_GB2312" w:eastAsia="仿宋_GB2312"/>
              </w:rPr>
              <w:t>包括用户端功能开发、工单自动分类与模版功能开发、工单进度提醒与跟踪功能开发、工单处理结果评价功能开发、工单管理自动化流程功能开发、工单数据统计分析开发。</w:t>
            </w:r>
          </w:p>
          <w:p>
            <w:pPr>
              <w:pStyle w:val="null3"/>
              <w:ind w:left="405"/>
            </w:pPr>
            <w:r>
              <w:rPr>
                <w:rFonts w:ascii="仿宋_GB2312" w:hAnsi="仿宋_GB2312" w:cs="仿宋_GB2312" w:eastAsia="仿宋_GB2312"/>
              </w:rPr>
              <w:t>（三）</w:t>
            </w:r>
            <w:r>
              <w:rPr>
                <w:rFonts w:ascii="仿宋_GB2312" w:hAnsi="仿宋_GB2312" w:cs="仿宋_GB2312" w:eastAsia="仿宋_GB2312"/>
              </w:rPr>
              <w:t>系统整体联调测试</w:t>
            </w:r>
          </w:p>
          <w:p>
            <w:pPr>
              <w:pStyle w:val="null3"/>
              <w:ind w:firstLine="400"/>
            </w:pPr>
            <w:r>
              <w:rPr>
                <w:rFonts w:ascii="仿宋_GB2312" w:hAnsi="仿宋_GB2312" w:cs="仿宋_GB2312" w:eastAsia="仿宋_GB2312"/>
              </w:rPr>
              <w:t>(1)系统测试：包括功能、兼容性，性能、安全性以及用户体验测试；</w:t>
            </w:r>
          </w:p>
          <w:p>
            <w:pPr>
              <w:pStyle w:val="null3"/>
              <w:ind w:firstLine="400"/>
            </w:pPr>
            <w:r>
              <w:rPr>
                <w:rFonts w:ascii="仿宋_GB2312" w:hAnsi="仿宋_GB2312" w:cs="仿宋_GB2312" w:eastAsia="仿宋_GB2312"/>
              </w:rPr>
              <w:t>(2)系统部署：包括环境准备、系统安装、部署以及系统联调；</w:t>
            </w:r>
          </w:p>
          <w:p>
            <w:pPr>
              <w:pStyle w:val="null3"/>
              <w:ind w:firstLine="400"/>
            </w:pPr>
            <w:r>
              <w:rPr>
                <w:rFonts w:ascii="仿宋_GB2312" w:hAnsi="仿宋_GB2312" w:cs="仿宋_GB2312" w:eastAsia="仿宋_GB2312"/>
              </w:rPr>
              <w:t>(3)系统培训：包括系统功能、工作流程以及异常处理培训。</w:t>
            </w:r>
          </w:p>
          <w:p>
            <w:pPr>
              <w:pStyle w:val="null3"/>
              <w:ind w:firstLine="400"/>
            </w:pPr>
            <w:r>
              <w:rPr>
                <w:rFonts w:ascii="仿宋_GB2312" w:hAnsi="仿宋_GB2312" w:cs="仿宋_GB2312" w:eastAsia="仿宋_GB2312"/>
              </w:rPr>
              <w:t>三、技术要求</w:t>
            </w:r>
          </w:p>
          <w:p>
            <w:pPr>
              <w:pStyle w:val="null3"/>
              <w:ind w:firstLine="400"/>
            </w:pPr>
            <w:r>
              <w:rPr>
                <w:rFonts w:ascii="仿宋_GB2312" w:hAnsi="仿宋_GB2312" w:cs="仿宋_GB2312" w:eastAsia="仿宋_GB2312"/>
              </w:rPr>
              <w:t>（一）路况信息推送功能开发</w:t>
            </w:r>
          </w:p>
          <w:p>
            <w:pPr>
              <w:pStyle w:val="null3"/>
              <w:ind w:firstLine="400"/>
            </w:pPr>
            <w:r>
              <w:rPr>
                <w:rFonts w:ascii="仿宋_GB2312" w:hAnsi="仿宋_GB2312" w:cs="仿宋_GB2312" w:eastAsia="仿宋_GB2312"/>
              </w:rPr>
              <w:t>1．用户管理后台功能开发</w:t>
            </w:r>
          </w:p>
          <w:p>
            <w:pPr>
              <w:pStyle w:val="null3"/>
              <w:ind w:firstLine="400"/>
            </w:pPr>
            <w:r>
              <w:rPr>
                <w:rFonts w:ascii="仿宋_GB2312" w:hAnsi="仿宋_GB2312" w:cs="仿宋_GB2312" w:eastAsia="仿宋_GB2312"/>
              </w:rPr>
              <w:t>(1) 用户信息收集：开发批量导入功能，支持批量导入内部用户数据信息，兼容CSV、Excel的格式。</w:t>
            </w:r>
          </w:p>
          <w:p>
            <w:pPr>
              <w:pStyle w:val="null3"/>
              <w:ind w:firstLine="400"/>
            </w:pPr>
            <w:r>
              <w:rPr>
                <w:rFonts w:ascii="仿宋_GB2312" w:hAnsi="仿宋_GB2312" w:cs="仿宋_GB2312" w:eastAsia="仿宋_GB2312"/>
              </w:rPr>
              <w:t>(2) 用户列表管理：开发用户列表功能，支持增加、修改、查询以及删除操作，方便管理消息推送的目标用户。</w:t>
            </w:r>
          </w:p>
          <w:p>
            <w:pPr>
              <w:pStyle w:val="null3"/>
              <w:ind w:firstLine="400"/>
            </w:pPr>
            <w:r>
              <w:rPr>
                <w:rFonts w:ascii="仿宋_GB2312" w:hAnsi="仿宋_GB2312" w:cs="仿宋_GB2312" w:eastAsia="仿宋_GB2312"/>
              </w:rPr>
              <w:t>(3) 用户分组分级管理：支持分组管理功能，可按组别对用户进行分类；支持分级管理功能，可根据层级（如一、二、三、四级）对用户设置不同权限；支持对分组或分级用户的新增、修改、查询及删除操作；支持单选或多选操作。</w:t>
            </w:r>
          </w:p>
          <w:p>
            <w:pPr>
              <w:pStyle w:val="null3"/>
              <w:ind w:firstLine="400"/>
            </w:pPr>
            <w:r>
              <w:rPr>
                <w:rFonts w:ascii="仿宋_GB2312" w:hAnsi="仿宋_GB2312" w:cs="仿宋_GB2312" w:eastAsia="仿宋_GB2312"/>
              </w:rPr>
              <w:t>2．路况信息编辑、汇聚与发布功能开发</w:t>
            </w:r>
          </w:p>
          <w:p>
            <w:pPr>
              <w:pStyle w:val="null3"/>
              <w:ind w:firstLine="400"/>
            </w:pPr>
            <w:r>
              <w:rPr>
                <w:rFonts w:ascii="仿宋_GB2312" w:hAnsi="仿宋_GB2312" w:cs="仿宋_GB2312" w:eastAsia="仿宋_GB2312"/>
              </w:rPr>
              <w:t>(1) 路况信息收集：对接综合监控系统，实现路况信息的自动化传输，支持多种格式，如文本、图片、视频等；支持多样化消息模版，包括路况简报和注意事项。</w:t>
            </w:r>
          </w:p>
          <w:p>
            <w:pPr>
              <w:pStyle w:val="null3"/>
              <w:ind w:firstLine="400"/>
            </w:pPr>
            <w:r>
              <w:rPr>
                <w:rFonts w:ascii="仿宋_GB2312" w:hAnsi="仿宋_GB2312" w:cs="仿宋_GB2312" w:eastAsia="仿宋_GB2312"/>
              </w:rPr>
              <w:t>(2) 路况信息编辑：为目标用户赋予路况信息编辑权限，负责收集、整理与录入路况信息，并通过接口推送至消息推送平台。</w:t>
            </w:r>
          </w:p>
          <w:p>
            <w:pPr>
              <w:pStyle w:val="null3"/>
              <w:ind w:firstLine="400"/>
            </w:pPr>
            <w:r>
              <w:rPr>
                <w:rFonts w:ascii="仿宋_GB2312" w:hAnsi="仿宋_GB2312" w:cs="仿宋_GB2312" w:eastAsia="仿宋_GB2312"/>
              </w:rPr>
              <w:t>(3) 模板管理：支持自定义路况信息报送模板，模板可由管理员进行管理和更新。</w:t>
            </w:r>
          </w:p>
          <w:p>
            <w:pPr>
              <w:pStyle w:val="null3"/>
              <w:ind w:firstLine="400"/>
            </w:pPr>
            <w:r>
              <w:rPr>
                <w:rFonts w:ascii="仿宋_GB2312" w:hAnsi="仿宋_GB2312" w:cs="仿宋_GB2312" w:eastAsia="仿宋_GB2312"/>
              </w:rPr>
              <w:t>(4) 多级审批：根据信息的重要性和紧急程度，设置多级审批机制。</w:t>
            </w:r>
          </w:p>
          <w:p>
            <w:pPr>
              <w:pStyle w:val="null3"/>
              <w:ind w:firstLine="400"/>
            </w:pPr>
            <w:r>
              <w:rPr>
                <w:rFonts w:ascii="仿宋_GB2312" w:hAnsi="仿宋_GB2312" w:cs="仿宋_GB2312" w:eastAsia="仿宋_GB2312"/>
              </w:rPr>
              <w:t>(5) 信息发布：对接微信公众号，最终将编辑好的路况信息由微信公众号发布。</w:t>
            </w:r>
          </w:p>
          <w:p>
            <w:pPr>
              <w:pStyle w:val="null3"/>
              <w:ind w:firstLine="400"/>
            </w:pPr>
            <w:r>
              <w:rPr>
                <w:rFonts w:ascii="仿宋_GB2312" w:hAnsi="仿宋_GB2312" w:cs="仿宋_GB2312" w:eastAsia="仿宋_GB2312"/>
              </w:rPr>
              <w:t>3．系统对接与数据接口</w:t>
            </w:r>
          </w:p>
          <w:p>
            <w:pPr>
              <w:pStyle w:val="null3"/>
              <w:ind w:firstLine="400"/>
            </w:pPr>
            <w:r>
              <w:rPr>
                <w:rFonts w:ascii="仿宋_GB2312" w:hAnsi="仿宋_GB2312" w:cs="仿宋_GB2312" w:eastAsia="仿宋_GB2312"/>
              </w:rPr>
              <w:t>(1) 与综合监控系统对接：通过接口形式与综合监控系统对接，实现实时数据获取与更新。</w:t>
            </w:r>
          </w:p>
          <w:p>
            <w:pPr>
              <w:pStyle w:val="null3"/>
              <w:ind w:firstLine="400"/>
            </w:pPr>
            <w:r>
              <w:rPr>
                <w:rFonts w:ascii="仿宋_GB2312" w:hAnsi="仿宋_GB2312" w:cs="仿宋_GB2312" w:eastAsia="仿宋_GB2312"/>
              </w:rPr>
              <w:t>(2) 数据接口开发：制定数据接口的规范、协议以及开发工作，确保数据传输的稳定性和安全性。</w:t>
            </w:r>
          </w:p>
          <w:p>
            <w:pPr>
              <w:pStyle w:val="null3"/>
              <w:ind w:firstLine="400"/>
            </w:pPr>
            <w:r>
              <w:rPr>
                <w:rFonts w:ascii="仿宋_GB2312" w:hAnsi="仿宋_GB2312" w:cs="仿宋_GB2312" w:eastAsia="仿宋_GB2312"/>
              </w:rPr>
              <w:t>(3) 信息模块建设：开发路况信息模块，支持用户查看详细路况信息及具体位置。</w:t>
            </w:r>
          </w:p>
          <w:p>
            <w:pPr>
              <w:pStyle w:val="null3"/>
              <w:ind w:firstLine="400"/>
            </w:pPr>
            <w:r>
              <w:rPr>
                <w:rFonts w:ascii="仿宋_GB2312" w:hAnsi="仿宋_GB2312" w:cs="仿宋_GB2312" w:eastAsia="仿宋_GB2312"/>
              </w:rPr>
              <w:t>(4) 地图查看功能：集成地图功能，支持在地图上查看路况位置、路况信息及附近摄像头画面。</w:t>
            </w:r>
          </w:p>
          <w:p>
            <w:pPr>
              <w:pStyle w:val="null3"/>
              <w:ind w:firstLine="400"/>
            </w:pPr>
            <w:r>
              <w:rPr>
                <w:rFonts w:ascii="仿宋_GB2312" w:hAnsi="仿宋_GB2312" w:cs="仿宋_GB2312" w:eastAsia="仿宋_GB2312"/>
              </w:rPr>
              <w:t>(5) 消息管理：构建路况消息管理平台，支持消息的编辑、审核和发布功能。</w:t>
            </w:r>
          </w:p>
          <w:p>
            <w:pPr>
              <w:pStyle w:val="null3"/>
              <w:ind w:firstLine="400"/>
            </w:pPr>
            <w:r>
              <w:rPr>
                <w:rFonts w:ascii="仿宋_GB2312" w:hAnsi="仿宋_GB2312" w:cs="仿宋_GB2312" w:eastAsia="仿宋_GB2312"/>
              </w:rPr>
              <w:t>(6) 定时推送：支持管理员设置消息的定时推送功能，灵活安排发布时间。</w:t>
            </w:r>
          </w:p>
          <w:p>
            <w:pPr>
              <w:pStyle w:val="null3"/>
              <w:ind w:firstLine="400"/>
            </w:pPr>
            <w:r>
              <w:rPr>
                <w:rFonts w:ascii="仿宋_GB2312" w:hAnsi="仿宋_GB2312" w:cs="仿宋_GB2312" w:eastAsia="仿宋_GB2312"/>
              </w:rPr>
              <w:t>（二）客户端自助工单功能开发</w:t>
            </w:r>
          </w:p>
          <w:p>
            <w:pPr>
              <w:pStyle w:val="null3"/>
              <w:ind w:firstLine="400"/>
            </w:pPr>
            <w:r>
              <w:rPr>
                <w:rFonts w:ascii="仿宋_GB2312" w:hAnsi="仿宋_GB2312" w:cs="仿宋_GB2312" w:eastAsia="仿宋_GB2312"/>
              </w:rPr>
              <w:t>1．用户端功能开发</w:t>
            </w:r>
          </w:p>
          <w:p>
            <w:pPr>
              <w:pStyle w:val="null3"/>
              <w:ind w:firstLine="400"/>
            </w:pPr>
            <w:r>
              <w:rPr>
                <w:rFonts w:ascii="仿宋_GB2312" w:hAnsi="仿宋_GB2312" w:cs="仿宋_GB2312" w:eastAsia="仿宋_GB2312"/>
              </w:rPr>
              <w:t>(1) 自助提交渠道：开发“ 自助工单”功能模块，支持用户通过微信公众号自助提交服务工单；支持用户催单、查询处理进度以及处理结果。</w:t>
            </w:r>
          </w:p>
          <w:p>
            <w:pPr>
              <w:pStyle w:val="null3"/>
              <w:ind w:firstLine="400"/>
            </w:pPr>
            <w:r>
              <w:rPr>
                <w:rFonts w:ascii="仿宋_GB2312" w:hAnsi="仿宋_GB2312" w:cs="仿宋_GB2312" w:eastAsia="仿宋_GB2312"/>
              </w:rPr>
              <w:t>(2) 工单填写：用户根据工单类型填写内容和联系方式；支持上传附件（如截图、文件等）补充说明问题。</w:t>
            </w:r>
          </w:p>
          <w:p>
            <w:pPr>
              <w:pStyle w:val="null3"/>
              <w:ind w:firstLine="400"/>
            </w:pPr>
            <w:r>
              <w:rPr>
                <w:rFonts w:ascii="仿宋_GB2312" w:hAnsi="仿宋_GB2312" w:cs="仿宋_GB2312" w:eastAsia="仿宋_GB2312"/>
              </w:rPr>
              <w:t>2．工单分类与模版开发</w:t>
            </w:r>
          </w:p>
          <w:p>
            <w:pPr>
              <w:pStyle w:val="null3"/>
              <w:ind w:firstLine="400"/>
            </w:pPr>
            <w:r>
              <w:rPr>
                <w:rFonts w:ascii="仿宋_GB2312" w:hAnsi="仿宋_GB2312" w:cs="仿宋_GB2312" w:eastAsia="仿宋_GB2312"/>
              </w:rPr>
              <w:t>(1) 工单分类：根据工单类型以及用户提交的内容，匹配相应的处理流程。</w:t>
            </w:r>
          </w:p>
          <w:p>
            <w:pPr>
              <w:pStyle w:val="null3"/>
              <w:ind w:firstLine="400"/>
            </w:pPr>
            <w:r>
              <w:rPr>
                <w:rFonts w:ascii="仿宋_GB2312" w:hAnsi="仿宋_GB2312" w:cs="仿宋_GB2312" w:eastAsia="仿宋_GB2312"/>
              </w:rPr>
              <w:t>(2) 模版设置：支持管理员自定义配置用户端工单模版，优化表单设计，便于用户快速填写。</w:t>
            </w:r>
          </w:p>
          <w:p>
            <w:pPr>
              <w:pStyle w:val="null3"/>
              <w:ind w:firstLine="400"/>
            </w:pPr>
            <w:r>
              <w:rPr>
                <w:rFonts w:ascii="仿宋_GB2312" w:hAnsi="仿宋_GB2312" w:cs="仿宋_GB2312" w:eastAsia="仿宋_GB2312"/>
              </w:rPr>
              <w:t>3．工单进度提醒与跟踪开发</w:t>
            </w:r>
          </w:p>
          <w:p>
            <w:pPr>
              <w:pStyle w:val="null3"/>
              <w:ind w:firstLine="400"/>
            </w:pPr>
            <w:r>
              <w:rPr>
                <w:rFonts w:ascii="仿宋_GB2312" w:hAnsi="仿宋_GB2312" w:cs="仿宋_GB2312" w:eastAsia="仿宋_GB2312"/>
              </w:rPr>
              <w:t>(1) 提醒通知：根据工单的重要程度以及处理进度，自动向用户发送通知，确保用户及时得到反馈和解决。</w:t>
            </w:r>
          </w:p>
          <w:p>
            <w:pPr>
              <w:pStyle w:val="null3"/>
              <w:ind w:firstLine="400"/>
            </w:pPr>
            <w:r>
              <w:rPr>
                <w:rFonts w:ascii="仿宋_GB2312" w:hAnsi="仿宋_GB2312" w:cs="仿宋_GB2312" w:eastAsia="仿宋_GB2312"/>
              </w:rPr>
              <w:t>(2) 实时跟踪：系统自动推送工单处理进度，用户可通过微信公众号实时查看工单状态，包括是否受理、当前处理 进度、处理时限和最终处理结果。</w:t>
            </w:r>
          </w:p>
          <w:p>
            <w:pPr>
              <w:pStyle w:val="null3"/>
              <w:ind w:firstLine="400"/>
            </w:pPr>
            <w:r>
              <w:rPr>
                <w:rFonts w:ascii="仿宋_GB2312" w:hAnsi="仿宋_GB2312" w:cs="仿宋_GB2312" w:eastAsia="仿宋_GB2312"/>
              </w:rPr>
              <w:t>(3) 结果通知：系统在工单处理完成后，自动向用户推送处理结果通知，形成业务闭环。</w:t>
            </w:r>
          </w:p>
          <w:p>
            <w:pPr>
              <w:pStyle w:val="null3"/>
              <w:ind w:firstLine="400"/>
            </w:pPr>
            <w:r>
              <w:rPr>
                <w:rFonts w:ascii="仿宋_GB2312" w:hAnsi="仿宋_GB2312" w:cs="仿宋_GB2312" w:eastAsia="仿宋_GB2312"/>
              </w:rPr>
              <w:t>4．处理结果评价确认开发</w:t>
            </w:r>
          </w:p>
          <w:p>
            <w:pPr>
              <w:pStyle w:val="null3"/>
              <w:ind w:firstLine="400"/>
            </w:pPr>
            <w:r>
              <w:rPr>
                <w:rFonts w:ascii="仿宋_GB2312" w:hAnsi="仿宋_GB2312" w:cs="仿宋_GB2312" w:eastAsia="仿宋_GB2312"/>
              </w:rPr>
              <w:t>(1) 处理结果确认：支持用户对工单处理结果进行评价， 若用户在评价中表示满意，系统自动关闭工单并归档；若问题未解决或需要进一步处理，可重新开启工单，确保问题得到完全解决。</w:t>
            </w:r>
          </w:p>
          <w:p>
            <w:pPr>
              <w:pStyle w:val="null3"/>
              <w:ind w:firstLine="400"/>
            </w:pPr>
            <w:r>
              <w:rPr>
                <w:rFonts w:ascii="仿宋_GB2312" w:hAnsi="仿宋_GB2312" w:cs="仿宋_GB2312" w:eastAsia="仿宋_GB2312"/>
              </w:rPr>
              <w:t>(2) 确认时效性：系统设置确认时限，若用户在规定时间内未确认，系统默用户评价满意并自动关闭工单，确保流程闭环。</w:t>
            </w:r>
          </w:p>
          <w:p>
            <w:pPr>
              <w:pStyle w:val="null3"/>
              <w:ind w:firstLine="400"/>
            </w:pPr>
            <w:r>
              <w:rPr>
                <w:rFonts w:ascii="仿宋_GB2312" w:hAnsi="仿宋_GB2312" w:cs="仿宋_GB2312" w:eastAsia="仿宋_GB2312"/>
              </w:rPr>
              <w:t>5．工单管理自动化流程开发</w:t>
            </w:r>
          </w:p>
          <w:p>
            <w:pPr>
              <w:pStyle w:val="null3"/>
              <w:ind w:firstLine="400"/>
            </w:pPr>
            <w:r>
              <w:rPr>
                <w:rFonts w:ascii="仿宋_GB2312" w:hAnsi="仿宋_GB2312" w:cs="仿宋_GB2312" w:eastAsia="仿宋_GB2312"/>
              </w:rPr>
              <w:t>(1) 工单分配：系统将所有工单统一汇总到工单池，支持由管理人员集中分配或者责任人自主领取。</w:t>
            </w:r>
          </w:p>
          <w:p>
            <w:pPr>
              <w:pStyle w:val="null3"/>
              <w:ind w:firstLine="400"/>
            </w:pPr>
            <w:r>
              <w:rPr>
                <w:rFonts w:ascii="仿宋_GB2312" w:hAnsi="仿宋_GB2312" w:cs="仿宋_GB2312" w:eastAsia="仿宋_GB2312"/>
              </w:rPr>
              <w:t>(2) 自动反馈：工单处理完成后，系统自动向用户推送处理结果和评价提醒，收集用户反馈信息。</w:t>
            </w:r>
          </w:p>
          <w:p>
            <w:pPr>
              <w:pStyle w:val="null3"/>
              <w:ind w:firstLine="400"/>
            </w:pPr>
            <w:r>
              <w:rPr>
                <w:rFonts w:ascii="仿宋_GB2312" w:hAnsi="仿宋_GB2312" w:cs="仿宋_GB2312" w:eastAsia="仿宋_GB2312"/>
              </w:rPr>
              <w:t>6．工单数据统计分析开发</w:t>
            </w:r>
          </w:p>
          <w:p>
            <w:pPr>
              <w:pStyle w:val="null3"/>
              <w:ind w:firstLine="400"/>
            </w:pPr>
            <w:r>
              <w:rPr>
                <w:rFonts w:ascii="仿宋_GB2312" w:hAnsi="仿宋_GB2312" w:cs="仿宋_GB2312" w:eastAsia="仿宋_GB2312"/>
              </w:rPr>
              <w:t>开发自助工单数据统计功能，包括工单类型统计、处理情</w:t>
            </w:r>
            <w:r>
              <w:rPr>
                <w:rFonts w:ascii="仿宋_GB2312" w:hAnsi="仿宋_GB2312" w:cs="仿宋_GB2312" w:eastAsia="仿宋_GB2312"/>
              </w:rPr>
              <w:t>况统计以及按负责人分工统计。</w:t>
            </w:r>
          </w:p>
          <w:p>
            <w:pPr>
              <w:pStyle w:val="null3"/>
              <w:ind w:firstLine="400"/>
            </w:pPr>
            <w:r>
              <w:rPr>
                <w:rFonts w:ascii="仿宋_GB2312" w:hAnsi="仿宋_GB2312" w:cs="仿宋_GB2312" w:eastAsia="仿宋_GB2312"/>
              </w:rPr>
              <w:t>（三）</w:t>
            </w:r>
            <w:r>
              <w:rPr>
                <w:rFonts w:ascii="仿宋_GB2312" w:hAnsi="仿宋_GB2312" w:cs="仿宋_GB2312" w:eastAsia="仿宋_GB2312"/>
              </w:rPr>
              <w:t>系统整体联调测试</w:t>
            </w:r>
          </w:p>
          <w:p>
            <w:pPr>
              <w:pStyle w:val="null3"/>
              <w:ind w:firstLine="400"/>
            </w:pPr>
            <w:r>
              <w:rPr>
                <w:rFonts w:ascii="仿宋_GB2312" w:hAnsi="仿宋_GB2312" w:cs="仿宋_GB2312" w:eastAsia="仿宋_GB2312"/>
              </w:rPr>
              <w:t>1．系统测试</w:t>
            </w:r>
          </w:p>
          <w:p>
            <w:pPr>
              <w:pStyle w:val="null3"/>
              <w:ind w:firstLine="400"/>
            </w:pPr>
            <w:r>
              <w:rPr>
                <w:rFonts w:ascii="仿宋_GB2312" w:hAnsi="仿宋_GB2312" w:cs="仿宋_GB2312" w:eastAsia="仿宋_GB2312"/>
              </w:rPr>
              <w:t>在系统正式上线前，需全面开展系统测试。确保系统功能正常使用、无漏洞、性能稳定，并验证与其他系统的对接能力。测试过程包含以下内容：</w:t>
            </w:r>
          </w:p>
          <w:p>
            <w:pPr>
              <w:pStyle w:val="null3"/>
              <w:ind w:firstLine="400"/>
            </w:pPr>
            <w:r>
              <w:rPr>
                <w:rFonts w:ascii="仿宋_GB2312" w:hAnsi="仿宋_GB2312" w:cs="仿宋_GB2312" w:eastAsia="仿宋_GB2312"/>
              </w:rPr>
              <w:t>(1) 功能测试：验证系统是否按照需求规格说明书中的要求正常运行，包括创建工单、客户查询、自动回复等功能全面测试；</w:t>
            </w:r>
          </w:p>
          <w:p>
            <w:pPr>
              <w:pStyle w:val="null3"/>
              <w:ind w:firstLine="400"/>
            </w:pPr>
            <w:r>
              <w:rPr>
                <w:rFonts w:ascii="仿宋_GB2312" w:hAnsi="仿宋_GB2312" w:cs="仿宋_GB2312" w:eastAsia="仿宋_GB2312"/>
              </w:rPr>
              <w:t>(2) 安全性测试：评估系统在处理用户数据时的安全性， 防范潜在的安全漏洞；</w:t>
            </w:r>
          </w:p>
          <w:p>
            <w:pPr>
              <w:pStyle w:val="null3"/>
              <w:ind w:firstLine="400"/>
            </w:pPr>
            <w:r>
              <w:rPr>
                <w:rFonts w:ascii="仿宋_GB2312" w:hAnsi="仿宋_GB2312" w:cs="仿宋_GB2312" w:eastAsia="仿宋_GB2312"/>
              </w:rPr>
              <w:t>(3) 性能测试：测试系统在高并发或高负载情况下的表现，确保在各种环境中保持稳定运行；</w:t>
            </w:r>
          </w:p>
          <w:p>
            <w:pPr>
              <w:pStyle w:val="null3"/>
              <w:ind w:firstLine="400"/>
            </w:pPr>
            <w:r>
              <w:rPr>
                <w:rFonts w:ascii="仿宋_GB2312" w:hAnsi="仿宋_GB2312" w:cs="仿宋_GB2312" w:eastAsia="仿宋_GB2312"/>
              </w:rPr>
              <w:t>(4) 用户体验测试：确保系统的用户界面友好、交互流程顺畅，提供良好的用户体验。</w:t>
            </w:r>
          </w:p>
          <w:p>
            <w:pPr>
              <w:pStyle w:val="null3"/>
              <w:ind w:firstLine="400"/>
            </w:pPr>
            <w:r>
              <w:rPr>
                <w:rFonts w:ascii="仿宋_GB2312" w:hAnsi="仿宋_GB2312" w:cs="仿宋_GB2312" w:eastAsia="仿宋_GB2312"/>
              </w:rPr>
              <w:t>2．系统部署</w:t>
            </w:r>
          </w:p>
          <w:p>
            <w:pPr>
              <w:pStyle w:val="null3"/>
              <w:ind w:firstLine="400"/>
            </w:pPr>
            <w:r>
              <w:rPr>
                <w:rFonts w:ascii="仿宋_GB2312" w:hAnsi="仿宋_GB2312" w:cs="仿宋_GB2312" w:eastAsia="仿宋_GB2312"/>
              </w:rPr>
              <w:t>在系统测试通过后，进行正式部署阶段，主要包括：</w:t>
            </w:r>
          </w:p>
          <w:p>
            <w:pPr>
              <w:pStyle w:val="null3"/>
              <w:ind w:firstLine="400"/>
            </w:pPr>
            <w:r>
              <w:rPr>
                <w:rFonts w:ascii="仿宋_GB2312" w:hAnsi="仿宋_GB2312" w:cs="仿宋_GB2312" w:eastAsia="仿宋_GB2312"/>
              </w:rPr>
              <w:t>(1) 环境准备：配置生产环境所需的服务器、数据库以及软件，确保系统能够正常运行；</w:t>
            </w:r>
          </w:p>
          <w:p>
            <w:pPr>
              <w:pStyle w:val="null3"/>
              <w:ind w:firstLine="400"/>
            </w:pPr>
            <w:r>
              <w:rPr>
                <w:rFonts w:ascii="仿宋_GB2312" w:hAnsi="仿宋_GB2312" w:cs="仿宋_GB2312" w:eastAsia="仿宋_GB2312"/>
              </w:rPr>
              <w:t>(2) 系统安装：将系统程序代码部署到服务器上，完成必要的配置和优化工作，确保性能达标；</w:t>
            </w:r>
          </w:p>
          <w:p>
            <w:pPr>
              <w:pStyle w:val="null3"/>
              <w:ind w:firstLine="400"/>
            </w:pPr>
            <w:r>
              <w:rPr>
                <w:rFonts w:ascii="仿宋_GB2312" w:hAnsi="仿宋_GB2312" w:cs="仿宋_GB2312" w:eastAsia="仿宋_GB2312"/>
              </w:rPr>
              <w:t>(3) 系统集成：实现12122系统与其他相关系统无缝对接，确保数据准确传递与共享。</w:t>
            </w:r>
          </w:p>
          <w:p>
            <w:pPr>
              <w:pStyle w:val="null3"/>
              <w:ind w:firstLine="400"/>
            </w:pPr>
            <w:r>
              <w:rPr>
                <w:rFonts w:ascii="仿宋_GB2312" w:hAnsi="仿宋_GB2312" w:cs="仿宋_GB2312" w:eastAsia="仿宋_GB2312"/>
              </w:rPr>
              <w:t>3．系统培训</w:t>
            </w:r>
          </w:p>
          <w:p>
            <w:pPr>
              <w:pStyle w:val="null3"/>
              <w:ind w:firstLine="400"/>
            </w:pPr>
            <w:r>
              <w:rPr>
                <w:rFonts w:ascii="仿宋_GB2312" w:hAnsi="仿宋_GB2312" w:cs="仿宋_GB2312" w:eastAsia="仿宋_GB2312"/>
              </w:rPr>
              <w:t>(1) 系统功能培训：介绍升级后的各项功能和操作流程，确保客服人员熟悉系统使用方法；</w:t>
            </w:r>
          </w:p>
          <w:p>
            <w:pPr>
              <w:pStyle w:val="null3"/>
              <w:ind w:firstLine="400"/>
            </w:pPr>
            <w:r>
              <w:rPr>
                <w:rFonts w:ascii="仿宋_GB2312" w:hAnsi="仿宋_GB2312" w:cs="仿宋_GB2312" w:eastAsia="仿宋_GB2312"/>
              </w:rPr>
              <w:t>(2) 工作流程培训：模拟不同场景，演示客服人员在各类实际业务中的系统操作流程的系统使用；</w:t>
            </w:r>
          </w:p>
          <w:p>
            <w:pPr>
              <w:pStyle w:val="null3"/>
              <w:ind w:firstLine="400"/>
            </w:pPr>
            <w:r>
              <w:rPr>
                <w:rFonts w:ascii="仿宋_GB2312" w:hAnsi="仿宋_GB2312" w:cs="仿宋_GB2312" w:eastAsia="仿宋_GB2312"/>
              </w:rPr>
              <w:t>(3) 异常处理培训：教授客服人员对系统故障、错误或其他异常情况的处理方法；</w:t>
            </w:r>
          </w:p>
          <w:p>
            <w:pPr>
              <w:pStyle w:val="null3"/>
              <w:ind w:firstLine="400"/>
            </w:pPr>
            <w:r>
              <w:rPr>
                <w:rFonts w:ascii="仿宋_GB2312" w:hAnsi="仿宋_GB2312" w:cs="仿宋_GB2312" w:eastAsia="仿宋_GB2312"/>
              </w:rPr>
              <w:t>(4) 培训反馈与调整：收集培训参与者的反馈意见，根据实际需求调整培训内容和方式，确保培训效果达到预期效果。</w:t>
            </w:r>
          </w:p>
          <w:p>
            <w:pPr>
              <w:pStyle w:val="null3"/>
              <w:ind w:firstLine="400"/>
            </w:pPr>
            <w:r>
              <w:rPr>
                <w:rFonts w:ascii="仿宋_GB2312" w:hAnsi="仿宋_GB2312" w:cs="仿宋_GB2312" w:eastAsia="仿宋_GB2312"/>
              </w:rPr>
              <w:t>（四）</w:t>
            </w:r>
            <w:r>
              <w:rPr>
                <w:rFonts w:ascii="仿宋_GB2312" w:hAnsi="仿宋_GB2312" w:cs="仿宋_GB2312" w:eastAsia="仿宋_GB2312"/>
              </w:rPr>
              <w:t>系统工程边界</w:t>
            </w:r>
          </w:p>
          <w:p>
            <w:pPr>
              <w:pStyle w:val="null3"/>
              <w:ind w:firstLine="400"/>
            </w:pPr>
            <w:r>
              <w:rPr>
                <w:rFonts w:ascii="仿宋_GB2312" w:hAnsi="仿宋_GB2312" w:cs="仿宋_GB2312" w:eastAsia="仿宋_GB2312"/>
              </w:rPr>
              <w:t>1．与12122热线系统边界</w:t>
            </w:r>
          </w:p>
          <w:p>
            <w:pPr>
              <w:pStyle w:val="null3"/>
              <w:ind w:firstLine="400"/>
            </w:pPr>
            <w:r>
              <w:rPr>
                <w:rFonts w:ascii="仿宋_GB2312" w:hAnsi="仿宋_GB2312" w:cs="仿宋_GB2312" w:eastAsia="仿宋_GB2312"/>
              </w:rPr>
              <w:t>保留现有</w:t>
            </w:r>
            <w:r>
              <w:rPr>
                <w:rFonts w:ascii="仿宋_GB2312" w:hAnsi="仿宋_GB2312" w:cs="仿宋_GB2312" w:eastAsia="仿宋_GB2312"/>
              </w:rPr>
              <w:t>12122热线系统所有功能，基于现有工单系统，增加客户端自助工单页面和路况推送页面，页面风格与现有风格保持一致。</w:t>
            </w:r>
          </w:p>
          <w:p>
            <w:pPr>
              <w:pStyle w:val="null3"/>
              <w:ind w:firstLine="400"/>
            </w:pPr>
            <w:r>
              <w:rPr>
                <w:rFonts w:ascii="仿宋_GB2312" w:hAnsi="仿宋_GB2312" w:cs="仿宋_GB2312" w:eastAsia="仿宋_GB2312"/>
              </w:rPr>
              <w:t>2．与综合监控系统的边界</w:t>
            </w:r>
          </w:p>
          <w:p>
            <w:pPr>
              <w:pStyle w:val="null3"/>
              <w:ind w:firstLine="400"/>
            </w:pPr>
            <w:r>
              <w:rPr>
                <w:rFonts w:ascii="仿宋_GB2312" w:hAnsi="仿宋_GB2312" w:cs="仿宋_GB2312" w:eastAsia="仿宋_GB2312"/>
              </w:rPr>
              <w:t>公众号推送平台与一键发布平台进行对接，</w:t>
            </w:r>
            <w:r>
              <w:rPr>
                <w:rFonts w:ascii="仿宋_GB2312" w:hAnsi="仿宋_GB2312" w:cs="仿宋_GB2312" w:eastAsia="仿宋_GB2312"/>
              </w:rPr>
              <w:t>内容包括：</w:t>
            </w:r>
            <w:r>
              <w:rPr>
                <w:rFonts w:ascii="仿宋_GB2312" w:hAnsi="仿宋_GB2312" w:cs="仿宋_GB2312" w:eastAsia="仿宋_GB2312"/>
              </w:rPr>
              <w:t>综合监控系统信息同步、事件基本信息、事件详情、事件附近摄像机、视频图像。</w:t>
            </w:r>
          </w:p>
          <w:p>
            <w:pPr>
              <w:pStyle w:val="null3"/>
              <w:ind w:firstLine="400"/>
            </w:pPr>
            <w:r>
              <w:rPr>
                <w:rFonts w:ascii="仿宋_GB2312" w:hAnsi="仿宋_GB2312" w:cs="仿宋_GB2312" w:eastAsia="仿宋_GB2312"/>
              </w:rPr>
              <w:t>3．与陕西交通12122微信公众号的边界</w:t>
            </w:r>
          </w:p>
          <w:p>
            <w:pPr>
              <w:pStyle w:val="null3"/>
              <w:ind w:firstLine="400"/>
            </w:pPr>
            <w:r>
              <w:rPr>
                <w:rFonts w:ascii="仿宋_GB2312" w:hAnsi="仿宋_GB2312" w:cs="仿宋_GB2312" w:eastAsia="仿宋_GB2312"/>
              </w:rPr>
              <w:t>陕西交通</w:t>
            </w:r>
            <w:r>
              <w:rPr>
                <w:rFonts w:ascii="仿宋_GB2312" w:hAnsi="仿宋_GB2312" w:cs="仿宋_GB2312" w:eastAsia="仿宋_GB2312"/>
              </w:rPr>
              <w:t>12122微信公众号所有功能保持不变，增加用户端自助工单入口点击进入工单填写模块，并将12122热线系统处理意见以及处理结果返给12122公众号。</w:t>
            </w:r>
          </w:p>
          <w:p>
            <w:pPr>
              <w:pStyle w:val="null3"/>
              <w:ind w:firstLine="400"/>
            </w:pPr>
            <w:r>
              <w:rPr>
                <w:rFonts w:ascii="仿宋_GB2312" w:hAnsi="仿宋_GB2312" w:cs="仿宋_GB2312" w:eastAsia="仿宋_GB2312"/>
              </w:rPr>
              <w:t>四、项目实施要求</w:t>
            </w:r>
          </w:p>
          <w:p>
            <w:pPr>
              <w:pStyle w:val="null3"/>
              <w:ind w:firstLine="400"/>
            </w:pPr>
            <w:r>
              <w:rPr>
                <w:rFonts w:ascii="仿宋_GB2312" w:hAnsi="仿宋_GB2312" w:cs="仿宋_GB2312" w:eastAsia="仿宋_GB2312"/>
              </w:rPr>
              <w:t>（一）安全要求</w:t>
            </w:r>
          </w:p>
          <w:p>
            <w:pPr>
              <w:pStyle w:val="null3"/>
              <w:ind w:firstLine="400"/>
            </w:pPr>
            <w:r>
              <w:rPr>
                <w:rFonts w:ascii="仿宋_GB2312" w:hAnsi="仿宋_GB2312" w:cs="仿宋_GB2312" w:eastAsia="仿宋_GB2312"/>
              </w:rPr>
              <w:t>1.数据安全</w:t>
            </w:r>
          </w:p>
          <w:p>
            <w:pPr>
              <w:pStyle w:val="null3"/>
              <w:ind w:firstLine="400"/>
            </w:pPr>
            <w:r>
              <w:rPr>
                <w:rFonts w:ascii="仿宋_GB2312" w:hAnsi="仿宋_GB2312" w:cs="仿宋_GB2312" w:eastAsia="仿宋_GB2312"/>
              </w:rPr>
              <w:t>数据加密</w:t>
            </w:r>
            <w:r>
              <w:rPr>
                <w:rFonts w:ascii="仿宋_GB2312" w:hAnsi="仿宋_GB2312" w:cs="仿宋_GB2312" w:eastAsia="仿宋_GB2312"/>
              </w:rPr>
              <w:t>:数据存储和传输需采用行业标准的加密算法，数据库中涉及敏感信息（如密码、身份证号）需加密存储。</w:t>
            </w:r>
          </w:p>
          <w:p>
            <w:pPr>
              <w:pStyle w:val="null3"/>
              <w:ind w:firstLine="400"/>
            </w:pPr>
            <w:r>
              <w:rPr>
                <w:rFonts w:ascii="仿宋_GB2312" w:hAnsi="仿宋_GB2312" w:cs="仿宋_GB2312" w:eastAsia="仿宋_GB2312"/>
              </w:rPr>
              <w:t>数据完整性</w:t>
            </w:r>
            <w:r>
              <w:rPr>
                <w:rFonts w:ascii="仿宋_GB2312" w:hAnsi="仿宋_GB2312" w:cs="仿宋_GB2312" w:eastAsia="仿宋_GB2312"/>
              </w:rPr>
              <w:t>:采用校验机制（如哈希函数）保障数据在存储和传输过程中的完整性。</w:t>
            </w:r>
          </w:p>
          <w:p>
            <w:pPr>
              <w:pStyle w:val="null3"/>
              <w:ind w:firstLine="400"/>
            </w:pPr>
            <w:r>
              <w:rPr>
                <w:rFonts w:ascii="仿宋_GB2312" w:hAnsi="仿宋_GB2312" w:cs="仿宋_GB2312" w:eastAsia="仿宋_GB2312"/>
              </w:rPr>
              <w:t>2. 网络安全</w:t>
            </w:r>
          </w:p>
          <w:p>
            <w:pPr>
              <w:pStyle w:val="null3"/>
              <w:ind w:firstLine="400"/>
            </w:pPr>
            <w:r>
              <w:rPr>
                <w:rFonts w:ascii="仿宋_GB2312" w:hAnsi="仿宋_GB2312" w:cs="仿宋_GB2312" w:eastAsia="仿宋_GB2312"/>
              </w:rPr>
              <w:t>供应商具备健全的网络安全服务体系，具有网络安全隐患排查、完善加固、预警监测、应对攻击等服务能力，配备具有相关技术能力的网络安全专职人员，为本项目提供漏洞检测、策略配置、加固整改、安全监测、应急处置等保障措施，确保系统安全稳定运行。供应商未发生过重大网络安全事件，按照要求签署网络安全责任协议。</w:t>
            </w:r>
          </w:p>
          <w:p>
            <w:pPr>
              <w:pStyle w:val="null3"/>
              <w:ind w:firstLine="400"/>
            </w:pPr>
            <w:r>
              <w:rPr>
                <w:rFonts w:ascii="仿宋_GB2312" w:hAnsi="仿宋_GB2312" w:cs="仿宋_GB2312" w:eastAsia="仿宋_GB2312"/>
              </w:rPr>
              <w:t>3.访问控制</w:t>
            </w:r>
          </w:p>
          <w:p>
            <w:pPr>
              <w:pStyle w:val="null3"/>
              <w:ind w:firstLine="400"/>
            </w:pPr>
            <w:r>
              <w:rPr>
                <w:rFonts w:ascii="仿宋_GB2312" w:hAnsi="仿宋_GB2312" w:cs="仿宋_GB2312" w:eastAsia="仿宋_GB2312"/>
              </w:rPr>
              <w:t>权限管理</w:t>
            </w:r>
            <w:r>
              <w:rPr>
                <w:rFonts w:ascii="仿宋_GB2312" w:hAnsi="仿宋_GB2312" w:cs="仿宋_GB2312" w:eastAsia="仿宋_GB2312"/>
              </w:rPr>
              <w:t>:实现细粒度权限分配，确保不同角色只能访问和操作授权内容。</w:t>
            </w:r>
          </w:p>
          <w:p>
            <w:pPr>
              <w:pStyle w:val="null3"/>
              <w:ind w:firstLine="400"/>
            </w:pPr>
            <w:r>
              <w:rPr>
                <w:rFonts w:ascii="仿宋_GB2312" w:hAnsi="仿宋_GB2312" w:cs="仿宋_GB2312" w:eastAsia="仿宋_GB2312"/>
              </w:rPr>
              <w:t>身份验证</w:t>
            </w:r>
            <w:r>
              <w:rPr>
                <w:rFonts w:ascii="仿宋_GB2312" w:hAnsi="仿宋_GB2312" w:cs="仿宋_GB2312" w:eastAsia="仿宋_GB2312"/>
              </w:rPr>
              <w:t>:用户登录需支持双因素认证（2FA）。密码强度需符合安全标准（至少8位，包含大写字母、小写字母、数字和特殊字符）。</w:t>
            </w:r>
          </w:p>
          <w:p>
            <w:pPr>
              <w:pStyle w:val="null3"/>
              <w:ind w:firstLine="400"/>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）培训要求</w:t>
            </w:r>
          </w:p>
          <w:p>
            <w:pPr>
              <w:pStyle w:val="null3"/>
              <w:ind w:firstLine="400"/>
            </w:pPr>
            <w:r>
              <w:rPr>
                <w:rFonts w:ascii="仿宋_GB2312" w:hAnsi="仿宋_GB2312" w:cs="仿宋_GB2312" w:eastAsia="仿宋_GB2312"/>
              </w:rPr>
              <w:t>提供多方面、多层次的培训。培训过程应提供各类的培训资料，培训资料以电子文档和纸质文档两种通用格式，结合多媒体介绍和演示进行。</w:t>
            </w:r>
          </w:p>
          <w:p>
            <w:pPr>
              <w:pStyle w:val="null3"/>
              <w:ind w:firstLine="400"/>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）技术支持及售后服务</w:t>
            </w:r>
          </w:p>
          <w:p>
            <w:pPr>
              <w:pStyle w:val="null3"/>
              <w:ind w:firstLine="400"/>
            </w:pPr>
            <w:r>
              <w:rPr>
                <w:rFonts w:ascii="仿宋_GB2312" w:hAnsi="仿宋_GB2312" w:cs="仿宋_GB2312" w:eastAsia="仿宋_GB2312"/>
              </w:rPr>
              <w:t>提供详细需求规格说明书和概要设计、详细设计等应用软件相关文档。</w:t>
            </w:r>
          </w:p>
          <w:p>
            <w:pPr>
              <w:pStyle w:val="null3"/>
              <w:ind w:firstLine="400"/>
            </w:pPr>
            <w:r>
              <w:rPr>
                <w:rFonts w:ascii="仿宋_GB2312" w:hAnsi="仿宋_GB2312" w:cs="仿宋_GB2312" w:eastAsia="仿宋_GB2312"/>
              </w:rPr>
              <w:t>服务期内，保持技术支持人员的相对稳定，协助建立相应的运维体系。必须向用户提供一站式服务，即一旦受理后，必须负责全程跟踪服务。以上服务内容费用已包含在技术服务费中，在合同规定的技术服务期内不得另行收费。</w:t>
            </w:r>
          </w:p>
          <w:p>
            <w:pPr>
              <w:pStyle w:val="null3"/>
              <w:ind w:firstLine="400"/>
            </w:pPr>
            <w:r>
              <w:rPr>
                <w:rFonts w:ascii="仿宋_GB2312" w:hAnsi="仿宋_GB2312" w:cs="仿宋_GB2312" w:eastAsia="仿宋_GB2312"/>
              </w:rPr>
              <w:t>必须明确承诺满足服务响应要求：</w:t>
            </w:r>
            <w:r>
              <w:rPr>
                <w:rFonts w:ascii="仿宋_GB2312" w:hAnsi="仿宋_GB2312" w:cs="仿宋_GB2312" w:eastAsia="仿宋_GB2312"/>
              </w:rPr>
              <w:t>7×24小时服务，1小时内做出明确响应，非灾难性问题在8小时内解决，如需现场服务的，具有解决故障能力的工程师应在24小时内到达现场，并做出故障诊断报告。同时负责针对引发故障的原因，给出日常运维建议或维护方案，避免同类故障再次发生。</w:t>
            </w:r>
          </w:p>
          <w:p>
            <w:pPr>
              <w:pStyle w:val="null3"/>
              <w:ind w:firstLine="400"/>
            </w:pPr>
            <w:r>
              <w:rPr>
                <w:rFonts w:ascii="仿宋_GB2312" w:hAnsi="仿宋_GB2312" w:cs="仿宋_GB2312" w:eastAsia="仿宋_GB2312"/>
              </w:rPr>
              <w:t>（</w:t>
            </w:r>
            <w:r>
              <w:rPr>
                <w:rFonts w:ascii="仿宋_GB2312" w:hAnsi="仿宋_GB2312" w:cs="仿宋_GB2312" w:eastAsia="仿宋_GB2312"/>
              </w:rPr>
              <w:t>四</w:t>
            </w:r>
            <w:r>
              <w:rPr>
                <w:rFonts w:ascii="仿宋_GB2312" w:hAnsi="仿宋_GB2312" w:cs="仿宋_GB2312" w:eastAsia="仿宋_GB2312"/>
              </w:rPr>
              <w:t>）知识产权归属</w:t>
            </w:r>
          </w:p>
          <w:p>
            <w:pPr>
              <w:pStyle w:val="null3"/>
              <w:jc w:val="both"/>
            </w:pPr>
            <w:r>
              <w:rPr>
                <w:rFonts w:ascii="仿宋_GB2312" w:hAnsi="仿宋_GB2312" w:cs="仿宋_GB2312" w:eastAsia="仿宋_GB2312"/>
                <w:sz w:val="21"/>
              </w:rPr>
              <w:t>在原有产品基础上进行定制化开发所产生的成果及知识产权归我方所有，知识产权包括但不限于专利权、专利申请权、商标专用权、著作权以及应用软件源代码（定制化部分）。保证在使用成交项目时，不承担任何涉及知识产权法律诉讼的责任。</w:t>
            </w:r>
          </w:p>
          <w:p>
            <w:pPr>
              <w:pStyle w:val="null3"/>
              <w:jc w:val="both"/>
            </w:pPr>
            <w:r>
              <w:rPr>
                <w:rFonts w:ascii="仿宋_GB2312" w:hAnsi="仿宋_GB2312" w:cs="仿宋_GB2312" w:eastAsia="仿宋_GB2312"/>
              </w:rPr>
              <w:t xml:space="preserve">  （五）</w:t>
            </w:r>
            <w:r>
              <w:rPr>
                <w:rFonts w:ascii="仿宋_GB2312" w:hAnsi="仿宋_GB2312" w:cs="仿宋_GB2312" w:eastAsia="仿宋_GB2312"/>
              </w:rPr>
              <w:t>人员配置要求</w:t>
            </w:r>
          </w:p>
          <w:p>
            <w:pPr>
              <w:pStyle w:val="null3"/>
              <w:ind w:firstLine="400"/>
            </w:pPr>
            <w:r>
              <w:rPr>
                <w:rFonts w:ascii="仿宋_GB2312" w:hAnsi="仿宋_GB2312" w:cs="仿宋_GB2312" w:eastAsia="仿宋_GB2312"/>
              </w:rPr>
              <w:t>本项目相关技术人员需具备软件开发、系统运维、升级等相关信息化服务从业能力，具有丰富的系统管理经验。</w:t>
            </w:r>
          </w:p>
          <w:p>
            <w:pPr>
              <w:pStyle w:val="null3"/>
              <w:ind w:firstLine="400"/>
            </w:pPr>
            <w:r>
              <w:rPr>
                <w:rFonts w:ascii="仿宋_GB2312" w:hAnsi="仿宋_GB2312" w:cs="仿宋_GB2312" w:eastAsia="仿宋_GB2312"/>
              </w:rPr>
              <w:t>在项目启动至试运行期间，供应商需派遣不少于</w:t>
            </w:r>
            <w:r>
              <w:rPr>
                <w:rFonts w:ascii="仿宋_GB2312" w:hAnsi="仿宋_GB2312" w:cs="仿宋_GB2312" w:eastAsia="仿宋_GB2312"/>
              </w:rPr>
              <w:t>1名（5天*8小时/周）具备相关技术能力的项目组人员进行驻场开发及协调对接工作，方便业务沟通交流。</w:t>
            </w:r>
          </w:p>
          <w:p>
            <w:pPr>
              <w:pStyle w:val="null3"/>
              <w:ind w:firstLine="400"/>
            </w:pPr>
            <w:r>
              <w:rPr>
                <w:rFonts w:ascii="仿宋_GB2312" w:hAnsi="仿宋_GB2312" w:cs="仿宋_GB2312" w:eastAsia="仿宋_GB2312"/>
              </w:rPr>
              <w:t>（六）</w:t>
            </w:r>
            <w:r>
              <w:rPr>
                <w:rFonts w:ascii="仿宋_GB2312" w:hAnsi="仿宋_GB2312" w:cs="仿宋_GB2312" w:eastAsia="仿宋_GB2312"/>
              </w:rPr>
              <w:t>保密要求</w:t>
            </w:r>
          </w:p>
          <w:p>
            <w:pPr>
              <w:pStyle w:val="null3"/>
              <w:ind w:firstLine="400"/>
            </w:pPr>
            <w:r>
              <w:rPr>
                <w:rFonts w:ascii="仿宋_GB2312" w:hAnsi="仿宋_GB2312" w:cs="仿宋_GB2312" w:eastAsia="仿宋_GB2312"/>
              </w:rPr>
              <w:t>项目实施过程中所收集、产生的所有与本项目相关的文档、资料，包括文字、图片、表格、数字等各种形式所属权均归属省中心，供应商必须对所涉及到的内容保密，供应商及服务人员应按照要求签署保密协议。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具体要求见“3.2.2服务要求”内容。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具体要求见“3.2.2服务要求”内容。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一、磋商报价要求 磋商总报价包含完成本项目及相关服务可能发生的一切费用，供应商不得要求采购人在报价之外支付其它任何费用。由于报价填报不完整、不清楚或存在其它任何失误，所导致的任何不利后果均应当由供应商自行承担。报价不因市场因素、政府政策调整、费率调整和税收变化等而作任何调整，供应商应充分考虑到各种风险因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于合同签订后60日内完成所有功能。包含开发、调试、部署、上线等，达到上线条件后向收费中心出具功能测试与试运行申请等书面交付文档，双方确认盖章后，确定试运行期开始时间。服务期为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个月试运行期满，供应商应完成过程资料整理并形成验收资料，书面通知收费中心进行验收。收费中心在接到申请并核验资料齐全后15个工作日内，组织会议对供应商提供服务情况进行验收，形成验收意见，正式服务期起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所有功能开发上线，一个月试运行期满并通过中心验收后，供应商开具全额增值税发票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运维服务费在服务期(试运行期结束后一年)满后支付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供应商如不能按时依照合同约定时间、设计功能或技术标准，开发调试安装并完整交付的，应向中心支付本合同总价款10%的违约金；同时按照逾期时间，向中心支付迟延履行的违约金，每日按逾期交货货款金额万分之一累计计算；服务商逾期一个月仍无法按合同要求提供产品或提供虚假材料，或质量不能满足技术要求的，中心有权终止合同，同时要求服务商承担相应的经济损失或承担本合同总价款 10%的 违约金。 解决争议的方法： 双方本着友好合作的态度,对合同履行过程中发生的纠纷应及时协商解决，协商不成的，向采购人所在地有管辖权的人民法院诉讼解决。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落实的政府采购政策： （1）《国务院办公厅关于建立政府强制采购节能产品制度的通知》（国办发〔2007〕51号）； （2）《财政部司法部关于政府采购支持监狱企业发展有关问题的通知》（财库〔2014〕68号）； （3）《关于促进残疾人就业政府采购政策的通知》（财库〔2017〕141号）； （4）《财政部发展改革委生态环境部市场监管总局关于调整优化节能产品、环境标志产品政府采购执行机制的通知》--（财库〔2019〕9号）； （5）《关于印发环境标志产品政府采购品目清单的通知》--（财库〔2019〕18号）； （6）《关于印发节能产品政府采购品目清单的通知》--（财库〔2019〕19号）； （7）《关于发布参与实施政府采购节能产品、环境标志产品认证机构名录的公告》—2019年第16号； （8）《政府采购促进中小企业发展暂行办法》（财库〔2020〕46号）； （9）关于印发《商品包装政府采购需求标准（试行）》（财办库〔2020〕123号）； （10）《关于运用政府采购政策支持乡村产业振兴的通知》（财库〔2021〕19号）； （11）《关于进一步加大政府采购支持中小企业力度的通知》（财库〔2022〕19号）； （12）《陕西省财政厅关于加快推进我省中小企业政府采购信用融资工作的通知》（陕财办采〔2020〕15号）； （13）《陕西省财政厅陕西省工业和信息化厅关于运用政府采购政策支持首台（套）及创新产品有关事项的通知》（陕财办采〔2021〕17号）； （14）《关于进一步加强政府绿色采购有关问题的通知》（陕财办采〔2021〕29号）； （15）其他需要落实的政府采购政策。如有最新颁布的政府采购政策，按最新的文件执行。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营业执照或其他组织</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法定代表人直接参加的，提供法定代表人证明及其身份证；授权代表参加的，提供法定代表人授权书（附法定代表人及授权代表身份证）；非法人单位参照执行。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依法缴纳税收证明资料</w:t>
            </w:r>
          </w:p>
        </w:tc>
        <w:tc>
          <w:tcPr>
            <w:tcW w:type="dxa" w:w="3322"/>
          </w:tcPr>
          <w:p>
            <w:pPr>
              <w:pStyle w:val="null3"/>
            </w:pPr>
            <w:r>
              <w:rPr>
                <w:rFonts w:ascii="仿宋_GB2312" w:hAnsi="仿宋_GB2312" w:cs="仿宋_GB2312" w:eastAsia="仿宋_GB2312"/>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依法缴纳社会保险证明资料</w:t>
            </w:r>
          </w:p>
        </w:tc>
        <w:tc>
          <w:tcPr>
            <w:tcW w:type="dxa" w:w="3322"/>
          </w:tcPr>
          <w:p>
            <w:pPr>
              <w:pStyle w:val="null3"/>
            </w:pPr>
            <w:r>
              <w:rPr>
                <w:rFonts w:ascii="仿宋_GB2312" w:hAnsi="仿宋_GB2312" w:cs="仿宋_GB2312" w:eastAsia="仿宋_GB2312"/>
              </w:rPr>
              <w:t>提供响应文件提交截止时间前一年内至少一个月已缴纳的社会保障资金缴存单据或社保机构开具的社会保险参保缴费情况证明，依法不需要缴纳社会保障资金的单位应提供相关证明材料。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本采购包不接受联合体磋商，供应商提供非联合体磋商承诺书。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响应文件、磋商响应函加盖供应商公章并经法定代表人或被授权委托人签字或盖章。</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 企业资料.docx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磋商响应文件有效期达到磋商文件的要求。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符合技术、服务、商务要求</w:t>
            </w:r>
          </w:p>
        </w:tc>
        <w:tc>
          <w:tcPr>
            <w:tcW w:type="dxa" w:w="3322"/>
          </w:tcPr>
          <w:p>
            <w:pPr>
              <w:pStyle w:val="null3"/>
            </w:pPr>
            <w:r>
              <w:rPr>
                <w:rFonts w:ascii="仿宋_GB2312" w:hAnsi="仿宋_GB2312" w:cs="仿宋_GB2312" w:eastAsia="仿宋_GB2312"/>
              </w:rPr>
              <w:t>完全响应技术、服务、商务要求。</w:t>
            </w:r>
          </w:p>
        </w:tc>
        <w:tc>
          <w:tcPr>
            <w:tcW w:type="dxa" w:w="1661"/>
          </w:tcPr>
          <w:p>
            <w:pPr>
              <w:pStyle w:val="null3"/>
            </w:pPr>
            <w:r>
              <w:rPr>
                <w:rFonts w:ascii="仿宋_GB2312" w:hAnsi="仿宋_GB2312" w:cs="仿宋_GB2312" w:eastAsia="仿宋_GB2312"/>
              </w:rPr>
              <w:t>服务内容及服务邀请应答表 商务应答表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符合磋商文件规定的其他实质性要求的</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 企业资料.docx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不存在其他不符合法律法规或磋商文件规定的响应无效条款的情形。</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 企业资料.docx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一、评审内容： 针对本项目的服务内容及要求，供应商应对项目背景理解及需求分析，内容包括： 1、对项目背景的理解； 2、对项目的需求分析。 二、评审标准： 1、完整性：项目背景及需求分析必须全面，对评审内容中的各项要求有详细描述； 2、可实施性：切合本项目实际情况，项目背景及需求分析具体、合理、可行； 3、针对性：项目背景及需求能够紧扣项目实际需求，内容科学合理。 三、赋分标准（满分6分）： 1、对项目背景的理解：每完全满足一个评审标准得 1分，满分3分； 2、对项目的需求分析：每完全满足一个评审标准得 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 针对本项目服务内容及要求，详细列明12122 热线功能升级总体实施方案，方案内容包括： 1、服务进度计划； 2、服务质量保障方案； 3、风险评估工作方案。 二、评审标准： 1、完整性：方案必须全面，对评审内容中的各项要求有详细描述； 2、可实施性：切合本项目实际情况，实施步骤清晰、合理、可行； 3、针对性：方案能够紧扣项目实际需求，内容科学合理。 三、赋分标准（满分9分）： 1、服务进度计划：每完全满足一个评审标准得1分，满分3分； 2、服务质量保障方案：每完全满足一个评审标准得1分，满分3分； 3、风险评估工作方案：每完全满足一个评审标准得1分，满分3分。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升级技术方案</w:t>
            </w:r>
          </w:p>
        </w:tc>
        <w:tc>
          <w:tcPr>
            <w:tcW w:type="dxa" w:w="2492"/>
          </w:tcPr>
          <w:p>
            <w:pPr>
              <w:pStyle w:val="null3"/>
            </w:pPr>
            <w:r>
              <w:rPr>
                <w:rFonts w:ascii="仿宋_GB2312" w:hAnsi="仿宋_GB2312" w:cs="仿宋_GB2312" w:eastAsia="仿宋_GB2312"/>
              </w:rPr>
              <w:t>一、评审内容： 针对本项目服务内容及要求，详细阐述12122热线功能升级技术方案，内容包括： 1、升级目标； 2、业务流程规划； 3、系统功能模块描述。 二、评审标准： 1、完整性：方案必须全面，对评审内容中的各项要求有详细描述； 2、可实施性：切合本项目实际情况，实施步骤清晰、合理、可行； 3、针对性：方案能够紧扣项目实际需求，内容科学合理。 三、赋分标准（满分18分）： 1、升级目标：每完全满足一个评审标准得2分，满分6分； 2、业务流程规划：每完全满足一个评审标准得2分，满分6分； 3、系统功能模块描述：每完全满足一个评审标准得2分，满分6分。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安全方案</w:t>
            </w:r>
          </w:p>
        </w:tc>
        <w:tc>
          <w:tcPr>
            <w:tcW w:type="dxa" w:w="2492"/>
          </w:tcPr>
          <w:p>
            <w:pPr>
              <w:pStyle w:val="null3"/>
            </w:pPr>
            <w:r>
              <w:rPr>
                <w:rFonts w:ascii="仿宋_GB2312" w:hAnsi="仿宋_GB2312" w:cs="仿宋_GB2312" w:eastAsia="仿宋_GB2312"/>
              </w:rPr>
              <w:t>一、评审内容： 针对本项目服务内容及要求，供应商对安全方案进行阐述，内容包括： 1、系统数据安全； 2、网络安全； 3、访问控制安全。 二、评审标准： 1、完整性：安全方案必须全面，对安全要求有详细描述和防护措施； 2、可实施性：切合本项目实际情况，合理、可行； 3、针对性：安全方案能够紧扣项目安全要求，内容科学合理。 三、赋分标准（满分9分）： 1、系统数据安全：每完全满足一个评审标准得1分，满分3分； 2、网络安全：每完全满足一个评审标准得1分，满分3分； 3、访问控制安全：每完全满足一个评审标准得1分，满分3分。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拟投入本项目人员配置</w:t>
            </w:r>
          </w:p>
        </w:tc>
        <w:tc>
          <w:tcPr>
            <w:tcW w:type="dxa" w:w="2492"/>
          </w:tcPr>
          <w:p>
            <w:pPr>
              <w:pStyle w:val="null3"/>
            </w:pPr>
            <w:r>
              <w:rPr>
                <w:rFonts w:ascii="仿宋_GB2312" w:hAnsi="仿宋_GB2312" w:cs="仿宋_GB2312" w:eastAsia="仿宋_GB2312"/>
              </w:rPr>
              <w:t>一、评审内容： 结合对本项目的服务内容及要求，提供拟投入本项目人员配置，内容包括： 1、人员组织结构； 2、拟投入本项目的人员配置（提供简历表等，格式自拟，包括但不限于姓名、职务、年龄、工作经验、年限、学历等相关信息）； 3、项目人员岗位职责。 二、评审标准： 1、完整性：人员配置必须全面，对评审内容中的各项要求有详细描述； 2、可实施性：切合本项目实际情况，人员分工明确，岗位设置合理、可行； 3、针对性：人员配置能够紧扣项目实际需求，科学合理。 三、赋分标准（满分4.5分）： 1、人员组织结构：每完全满足一个评审标准得0.5分，满分1.5分； 2、拟投入本项目的人员配置（提供简历表等，格式自拟，包括但不限于姓名、职务、年龄、工作经验、年限、学历等相关信息）：每完全满足一个评审标准得0.5分，满分1.5分； 3、项目人员岗位职责：每完全满足一个评审标准得 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一、评审内容： 供应商需针对服务内容及要求，提供完成所有功能升级、试运行期及验收后运维期的服务保障方案，内容包括： 1、功能升级服务保障方案； 2、试运行期服务保障方案； 3、运维期的服务保障方案。 二、评审标准： 1、完整性：内容必须全面，对评审内容中的各项要求有详细描述； 2、可实施性：切合本项目实际情况，实施步骤清晰、合理、可行； 3、针对性：描述能够紧扣项目实际需求，内容科学合理。 三、赋分标准（满分9分）： 1、功能升级服务保障方案：每完全满足一个评审标准得1分，满分3分； 2、试运行期服务保障方案：每完全满足一个评审标准得1分，满分3分； 3、运维期的服务保障方案：每完全满足一个评审标准得1分，满分3分。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一、评审内容： 为满足12122热线功能升级后各项功能的稳定运行，提供必要的培训服务，方案内容包括： 1、培训的内容及方式； 2、培训的流程。 二、评审标准： 1、完整性：方案必须全面，对评审内容中的各项要求有详细描述； 2、可实施性：切合本项目实际情况，实施步骤清晰、合理、可行。 3、针对性：描述能够紧扣项目实际需求，内容科学合理。 三、赋分标准（满分3分）： 1、培训的内容及方式：每完全满足一个评审标准得0.5分，满分1.5分； 2、培训的流程：每完全满足一个评审标准得0.5分，满分1.5分。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针对本项目突发事件的应对措施</w:t>
            </w:r>
          </w:p>
        </w:tc>
        <w:tc>
          <w:tcPr>
            <w:tcW w:type="dxa" w:w="2492"/>
          </w:tcPr>
          <w:p>
            <w:pPr>
              <w:pStyle w:val="null3"/>
            </w:pPr>
            <w:r>
              <w:rPr>
                <w:rFonts w:ascii="仿宋_GB2312" w:hAnsi="仿宋_GB2312" w:cs="仿宋_GB2312" w:eastAsia="仿宋_GB2312"/>
              </w:rPr>
              <w:t>一、评审内容： 针对本项目突发事件的应对措施，包括： 1、应急响应流程； 2、技术保障措施。 二、评审标准： 1、完整性：对评审内容中的各项措施要求有全面、详细描述； 2、可实施性：切合项目实际情况，各项措施内容清晰、合理、可行； 3、针对性：各项措施能够满足项目及采购人实际需求，内容科学合理。 三、赋分标准（满分3分）： 1、应急响应流程：每完全满足一个评审标准得0.5分，满分1.5分； 2、技术保障措施：每完全满足一个评审标准得0.5分，满分1.5分。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根据项目情况提供完整的管理制度，包括： 1、上岗人员管理制度； 2、日常管理制度； 3、档案资料管理制度。 二、评审标准： 1、完整性：对评审内容中的各项制度有全面、详细描述； 2、可实施性：切合项目实际情况，各项制度内容清晰、合理、可行； 3、针对性：各项制度能够紧扣项目及采购人实际需求，内容科学合理。 三、赋分标准（满分4.5分）； 1、上岗人员管理制度：每完全满足一个评审标准得 0.5分，满分1.5分； 2、日常管理制度：每完全满足一个评审标准得 0.5分，满分1.5分； 3、档案资料管理制度：每完全满足一个评审标准得 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1、承诺：严格按照项目服务内容及要求，保证采购人要求售后服务的响应时限内完成服务，确保热线功能升级后的正常运行，得1分。无承诺不得分。 2、承诺：供应商对本项目验收移交后的运维期提供多种支持服务，包括但不限于：远程支持服务、现场服务等，得1分。无承诺不得分。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供应商在信息化方面具有较好的服务能力和实力。须附相关证明材料，包含： 1、有效的ISO9001质量管理体系认证证书； 2、软件企业证书。 注：每提供1个得2分，此项最高得4分。（以上证明材料提供相应证书复印件或扫描件加盖响应人公章）。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供应商应提供2022年1月1日起至今类似项目业绩，每提供1份业绩得2分，满分8分。 注：1、供应商提供的业绩以合同签订时间或中标（成交）通知书签发时间为准； 2、业绩资料需提供合同（合同关键页含客户名称、项目内容、签订日期、金额）或中标（成交）通知书、验收报告等资料（需有甲方的签字或盖章）的复印件或扫描件，并加盖公章。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详见附件：企业资料.docx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详见附件：业绩资料.docx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