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EE072">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40"/>
          <w:szCs w:val="40"/>
          <w:lang w:val="en-US" w:eastAsia="zh-CN"/>
        </w:rPr>
        <w:t>云上应用与服务平台维护</w:t>
      </w:r>
    </w:p>
    <w:p w14:paraId="5C2121E8">
      <w:pPr>
        <w:ind w:firstLine="420"/>
        <w:jc w:val="center"/>
        <w:outlineLvl w:val="9"/>
        <w:rPr>
          <w:rFonts w:hint="eastAsia" w:ascii="宋体" w:hAnsi="宋体" w:cs="宋体"/>
          <w:b/>
          <w:color w:val="auto"/>
          <w:sz w:val="32"/>
          <w:szCs w:val="32"/>
        </w:rPr>
      </w:pPr>
    </w:p>
    <w:p w14:paraId="1DE8661A">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52A1E6BD">
      <w:pPr>
        <w:ind w:left="0" w:leftChars="0" w:firstLine="0" w:firstLineChars="0"/>
        <w:jc w:val="center"/>
        <w:rPr>
          <w:rFonts w:hint="eastAsia" w:ascii="宋体" w:hAnsi="宋体" w:cs="宋体"/>
          <w:b/>
          <w:bCs/>
          <w:color w:val="auto"/>
          <w:sz w:val="22"/>
          <w:szCs w:val="22"/>
        </w:rPr>
      </w:pPr>
    </w:p>
    <w:p w14:paraId="744EFBC0">
      <w:pPr>
        <w:ind w:left="0" w:leftChars="0" w:firstLine="0" w:firstLineChars="0"/>
        <w:jc w:val="center"/>
        <w:rPr>
          <w:rFonts w:hint="eastAsia" w:ascii="宋体" w:hAnsi="宋体" w:cs="宋体"/>
          <w:b/>
          <w:bCs/>
          <w:color w:val="auto"/>
          <w:sz w:val="22"/>
          <w:szCs w:val="22"/>
        </w:rPr>
      </w:pPr>
    </w:p>
    <w:p w14:paraId="37B44D38">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1DF710B4">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1223047A">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3470E427">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652DB589">
      <w:pPr>
        <w:keepNext w:val="0"/>
        <w:keepLines w:val="0"/>
        <w:pageBreakBefore w:val="0"/>
        <w:numPr>
          <w:ilvl w:val="0"/>
          <w:numId w:val="1"/>
        </w:numPr>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项目内容：</w:t>
      </w:r>
    </w:p>
    <w:p w14:paraId="02D0A3E5">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45AFD56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2.1乙方为甲方提供的服务期限为</w:t>
      </w:r>
      <w:r>
        <w:rPr>
          <w:rFonts w:hint="eastAsia" w:ascii="宋体" w:hAnsi="宋体" w:cs="宋体"/>
          <w:color w:val="auto"/>
          <w:kern w:val="0"/>
          <w:sz w:val="24"/>
          <w:lang w:eastAsia="zh-CN"/>
        </w:rPr>
        <w:t>：省级视频云联网监测系统云上应用系统、基于 ETC 门架的交通情况调查应用系统、高速公路超速筛查处理系统、互联网+高速公路公众出行服务平台、陕西省高速公路收费站拥堵监测预警系统等5个系统服务期2025 年 7 月 1 日至 2026 年 6 月 30 日；交通情况调查应用系统服务期 2025 年 7 月 22 日至 2026 年 7 月 21 日。</w:t>
      </w:r>
      <w:r>
        <w:rPr>
          <w:rFonts w:hint="eastAsia" w:ascii="宋体" w:hAnsi="宋体" w:cs="宋体"/>
          <w:color w:val="auto"/>
          <w:kern w:val="0"/>
          <w:sz w:val="24"/>
        </w:rPr>
        <w:t>（具体以项目实施日期为准）</w:t>
      </w:r>
    </w:p>
    <w:p w14:paraId="0CA46E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陕西省高速公路收费中心</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71205C0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5477A2E3">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4F49FCB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2D5FDD7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6574B74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24E7F70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483D129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3F0C7C8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7828C82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677AFFE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0849B03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5D2B94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68CE282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112C37EE">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6CD5977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付款方式：自合同签订且服务期开始，供应商开具全额合同发票后，支付合同价款的 65%，剩余 35%按月支付，乙方应按季度向甲方提交阶段服务报告，最后一次在服务期满并通过验收后 15 个工作日支付本项服务的剩余费用。</w:t>
      </w:r>
    </w:p>
    <w:p w14:paraId="07826502">
      <w:pPr>
        <w:keepNext w:val="0"/>
        <w:keepLines w:val="0"/>
        <w:pageBreakBefore w:val="0"/>
        <w:kinsoku/>
        <w:wordWrap/>
        <w:overflowPunct/>
        <w:topLinePunct w:val="0"/>
        <w:autoSpaceDE w:val="0"/>
        <w:autoSpaceDN w:val="0"/>
        <w:bidi w:val="0"/>
        <w:adjustRightInd w:val="0"/>
        <w:snapToGrid/>
        <w:spacing w:line="360" w:lineRule="auto"/>
        <w:ind w:firstLine="241" w:firstLineChars="1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3BC3BE2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5.1日常系统维护违约责任：</w:t>
      </w:r>
    </w:p>
    <w:p w14:paraId="0902D7F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（1）应做好巡检，形成巡检记录，因巡检不到位造成故障不能及时发现处置，每次扣除服务费 1000元。</w:t>
      </w:r>
    </w:p>
    <w:p w14:paraId="46EA2852">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（2）节假日、重要活动等特殊时期的保障，应加强值班值守，若发现有人擅离职守，发现1次，每次扣除服务费 2000 元；未按要求提前进行系统安全检查，由于系统安全问题，造成系统不能正常运行，每次扣除服务费 2000 元。</w:t>
      </w:r>
    </w:p>
    <w:p w14:paraId="19619B66">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（3）未经采购人同意，供应商擅自减少、变更驻场人员，每次扣除维护服务费5000元；供应商驻场人员和节日值班人员擅离职守，迟到、早退、脱岗、未提前请假不到岗的，每人每次扣除维护服务费5000元。</w:t>
      </w:r>
    </w:p>
    <w:p w14:paraId="76357DC5">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5.2网络安全违约责任：</w:t>
      </w:r>
    </w:p>
    <w:p w14:paraId="3C9AAC86">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供应商应做到以下要求:</w:t>
      </w:r>
    </w:p>
    <w:p w14:paraId="3AFE117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(1)彻底清理系统隐患。全面排查清理系统网络安全隐患，确保中高危隐患彻底清零。</w:t>
      </w:r>
    </w:p>
    <w:p w14:paraId="6410E6A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(2)全面摸清现网资产。全面摸清系统资产，形成资产台账，定期维护更新资产，确保资产信息准确。</w:t>
      </w:r>
    </w:p>
    <w:p w14:paraId="5E910268">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(3)彻底消除口令问题。定期开展口令隐患排查，严格系统密码存储管理，确保口令问题彻底消除。</w:t>
      </w:r>
    </w:p>
    <w:p w14:paraId="347AD76D">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(4)及时升级安装补丁。定期开展漏洞扫描、渗透测试等工作，及时升级系统存在漏洞的软件，安装最新补丁和杀毒软件，确保系统软件升至最新版本。</w:t>
      </w:r>
    </w:p>
    <w:p w14:paraId="326F03B8">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(5)强化系统监测能力。充分利用现有监测平台或借助第三方监测手段做好软件/设备状态监测，及时感知并处置异常网络安全行为，确保系统安全运行。</w:t>
      </w:r>
    </w:p>
    <w:p w14:paraId="721C537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(6)加强系统安全防护。选用技术能力强、安全业务精湛、经验丰富、责任心强的人员做好系统安全防护，采取切实有效的措施，能够及时发现系统异常攻击行为，做好系统安全防守。</w:t>
      </w:r>
    </w:p>
    <w:p w14:paraId="52DA0F0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(7)做好日常管理工作。完善运维机制，规范运维程序，形成运维记录，做好设备日常巡检、加强意识技能培训开展安全专项服务、备份系统数据配置、做好监测预警处置等日常网络安全工作。</w:t>
      </w:r>
    </w:p>
    <w:p w14:paraId="40CD3EA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若供应商因上述(1)至(7)条款落实不到位，造成部、省、公安、中心等有关部门通报时，发现并通报 1 次，扣除服务费 5000 元;造成网络安全事件时，将按照国家，部、省、中心网络安全相关规定，根据造成的实际损失、影响，上报有关部门同时进行责任追究。</w:t>
      </w:r>
    </w:p>
    <w:p w14:paraId="1EDD2650">
      <w:pPr>
        <w:keepNext w:val="0"/>
        <w:keepLines w:val="0"/>
        <w:pageBreakBefore w:val="0"/>
        <w:kinsoku/>
        <w:wordWrap/>
        <w:overflowPunct/>
        <w:topLinePunct w:val="0"/>
        <w:bidi w:val="0"/>
        <w:snapToGrid/>
        <w:spacing w:line="360" w:lineRule="auto"/>
        <w:ind w:firstLine="361" w:firstLineChars="15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65749E0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lang w:val="en-US" w:eastAsia="zh-CN"/>
        </w:rPr>
        <w:t>6.1</w:t>
      </w:r>
      <w:r>
        <w:rPr>
          <w:rFonts w:hint="eastAsia" w:ascii="宋体" w:hAnsi="宋体" w:cs="宋体"/>
          <w:color w:val="auto"/>
          <w:kern w:val="0"/>
          <w:sz w:val="24"/>
        </w:rPr>
        <w:t>项目实施过程中所收集、产生的所有与本项目相关的文档、资料，包括文字、 图片、表格、数字等各种形式所属权均归属省中心，供应商必须对所涉及到的内容保密，供应商及服务人员应按照要求签署保密协议。</w:t>
      </w:r>
    </w:p>
    <w:p w14:paraId="7EA3C9D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七、合同争议的解决</w:t>
      </w:r>
    </w:p>
    <w:p w14:paraId="4D7B084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7.1合同一经签订，不得擅自变更、中止或者终止合同。对确需变更、调整或者中止、终止合同的，应按规定履行相应的手续。</w:t>
      </w:r>
    </w:p>
    <w:p w14:paraId="7B48094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7.2采购人在合同的履行期间以及履行期后，可以随时检查项目的执行情况，对招标标准、招标采购内容进行调查核实，并对发现的问题进行处理。</w:t>
      </w:r>
    </w:p>
    <w:p w14:paraId="26301BA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7.3合同争议的解决：合同在履行过程中发生的争议，当事人双方应协商解决，协商达不成一致时，可向合同履行地人民法院提起诉讼。</w:t>
      </w:r>
    </w:p>
    <w:p w14:paraId="56102626">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auto"/>
          <w:kern w:val="0"/>
          <w:sz w:val="24"/>
        </w:rPr>
      </w:pPr>
      <w:r>
        <w:rPr>
          <w:rFonts w:hint="eastAsia" w:ascii="宋体" w:hAnsi="宋体" w:cs="宋体"/>
          <w:b/>
          <w:bCs/>
          <w:color w:val="auto"/>
          <w:kern w:val="0"/>
          <w:sz w:val="24"/>
        </w:rPr>
        <w:t>八、合同生效及其他</w:t>
      </w:r>
    </w:p>
    <w:p w14:paraId="7440491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8.1本合同经甲乙双方签字盖章后生效；</w:t>
      </w:r>
    </w:p>
    <w:p w14:paraId="48C0234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8.2本合同中所带的附件，具备合同本身同样的法律效力；</w:t>
      </w:r>
    </w:p>
    <w:p w14:paraId="7203408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0090805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8.4乙方收款账号信息如下：</w:t>
      </w:r>
    </w:p>
    <w:p w14:paraId="3858232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9D7A26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7BD9BE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788A496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8.5本合同未尽事宜，双方以补充合同完善。</w:t>
      </w:r>
    </w:p>
    <w:p w14:paraId="31B0E0F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3E5BAB4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76BE659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063377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4FCB14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1654907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365D996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0055F1F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265BA40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0C31EACC">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bookmarkStart w:id="0" w:name="_GoBack"/>
      <w:bookmarkEnd w:id="0"/>
    </w:p>
    <w:p w14:paraId="0FF48964"/>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17BE12BB"/>
    <w:rsid w:val="28A810C4"/>
    <w:rsid w:val="3B2F7287"/>
    <w:rsid w:val="407A3BED"/>
    <w:rsid w:val="65431DAC"/>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1923</Words>
  <Characters>2056</Characters>
  <Lines>0</Lines>
  <Paragraphs>0</Paragraphs>
  <TotalTime>0</TotalTime>
  <ScaleCrop>false</ScaleCrop>
  <LinksUpToDate>false</LinksUpToDate>
  <CharactersWithSpaces>2367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2025-04-25T06:38:21Z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