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版本号：HDFX—2025-Z10220250427001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医疗责任险购买项目(三次)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HDFX—2025-Z102</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医疗责任险购买项目(三次)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医疗责任险购买项目(三次)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拟采购医疗责任险（包含多点执业人员），具体内容详见招标文件。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的审计报告(成立时间至提交投标文件截止时间不足一年的可提供成立后任意时段的资产负债表)，或其基本存款账户开户银行出具的近3个月内的资信证明及基本存款账户开户许可证（基本账户信息表）；</w:t>
      </w:r>
    </w:p>
    <w:p>
      <w:pPr>
        <w:pStyle w:val="null3"/>
      </w:pPr>
      <w:r>
        <w:rPr>
          <w:rFonts w:ascii="仿宋_GB2312" w:hAnsi="仿宋_GB2312" w:cs="仿宋_GB2312" w:eastAsia="仿宋_GB2312"/>
        </w:rPr>
        <w:t>3、税收缴纳证明：提供投标截止时间前6个月内至少一个月的纳税证明或完税证明（任意税种，个人所得税除外），依法免税的单位应提供相关证明材料；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4、社会保障资金缴纳证明：提供投标截止时间前6个月内至少一个月的社会保障资金缴存单据或社保机构开具的社会保险参保缴费情况证明，依法不需要缴纳社会保障资金的单位应提供相关证明材料；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5、供应商履约能力：供应商须提供具有履行合同所必需的设备和专业技术能力的承诺；</w:t>
      </w:r>
    </w:p>
    <w:p>
      <w:pPr>
        <w:pStyle w:val="null3"/>
      </w:pPr>
      <w:r>
        <w:rPr>
          <w:rFonts w:ascii="仿宋_GB2312" w:hAnsi="仿宋_GB2312" w:cs="仿宋_GB2312" w:eastAsia="仿宋_GB2312"/>
        </w:rPr>
        <w:t>6、近三年无重大违法记录声明：参加政府采购活动前3年内，在经营活动中没有重大违法记录的书面声明。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主要负责人）授权委托代理人参加投标时，应提供法定代表人（主要负责人）委托授权书；法定代表人（主要负责人）亲自参加投标时，应提供法定代表人（主要负责人）身份证明书，被授权人须提供在本单位缴纳的近三个月内的社保记录；</w:t>
      </w:r>
    </w:p>
    <w:p>
      <w:pPr>
        <w:pStyle w:val="null3"/>
      </w:pPr>
      <w:r>
        <w:rPr>
          <w:rFonts w:ascii="仿宋_GB2312" w:hAnsi="仿宋_GB2312" w:cs="仿宋_GB2312" w:eastAsia="仿宋_GB2312"/>
        </w:rPr>
        <w:t>8、供应商资质：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p>
      <w:pPr>
        <w:pStyle w:val="null3"/>
      </w:pPr>
      <w:r>
        <w:rPr>
          <w:rFonts w:ascii="仿宋_GB2312" w:hAnsi="仿宋_GB2312" w:cs="仿宋_GB2312" w:eastAsia="仿宋_GB2312"/>
        </w:rPr>
        <w:t>9、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11、其他：供应商非采购人单位职工及家属投资开办，其法人、股东和经营管理人员非采购人单位职工及家属。</w:t>
      </w:r>
    </w:p>
    <w:p>
      <w:pPr>
        <w:pStyle w:val="null3"/>
      </w:pPr>
      <w:r>
        <w:rPr>
          <w:rFonts w:ascii="仿宋_GB2312" w:hAnsi="仿宋_GB2312" w:cs="仿宋_GB2312" w:eastAsia="仿宋_GB2312"/>
        </w:rPr>
        <w:t>12、不接受联合体投标：本项目不接受联合体投标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西安市未央区朱宏路福清商会大厦11楼1101室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办公厅关于招标服务收费有关问题的通知》（发改办价格[2003]857号）文件的规定计取，采用现金、转账或汇款方式向陕西华达峰信项目管理有限公司交纳招标服务费。 招标代理服务费缴纳账户信息： 账户名称：陕西华达峰信项目管理有限公司 开户行：中国工商银行股份有限公司西安未央支行 开户账号：3700034009100001556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联系人：杨主任</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地址：西安市未央区朱宏路福清商会大厦11楼1101室会议室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拟采购医疗责任险（包含多点执业人员），具体内容详见招标文件。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医疗责任险购买项目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标的名称：医疗责任险购买项目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一、采购招标的需实现的功能或者目标</w:t>
                  </w:r>
                </w:p>
                <w:p>
                  <w:pPr>
                    <w:pStyle w:val="null3"/>
                    <w:jc w:val="both"/>
                  </w:pPr>
                  <w:r>
                    <w:rPr>
                      <w:rFonts w:ascii="仿宋_GB2312" w:hAnsi="仿宋_GB2312" w:cs="仿宋_GB2312" w:eastAsia="仿宋_GB2312"/>
                      <w:sz w:val="19"/>
                    </w:rPr>
                    <w:t>本项目为陕西省中医医院购买医疗责任险（包含多点执业人员），请供应商结合采购需求和自身情况为采购人提供更好更优质的服务。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二、采购招标的需执行的国家相关标准、行业标准、地方标准或者其他标准、规范</w:t>
                  </w:r>
                  <w:r>
                    <w:rPr>
                      <w:rFonts w:ascii="仿宋_GB2312" w:hAnsi="仿宋_GB2312" w:cs="仿宋_GB2312" w:eastAsia="仿宋_GB2312"/>
                      <w:sz w:val="19"/>
                    </w:rPr>
                    <w:t>。</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三、采购招标的数量、采购项目交付或者实施的时间和地点</w:t>
                  </w:r>
                </w:p>
                <w:p>
                  <w:pPr>
                    <w:pStyle w:val="null3"/>
                    <w:jc w:val="both"/>
                  </w:pPr>
                  <w:r>
                    <w:rPr>
                      <w:rFonts w:ascii="仿宋_GB2312" w:hAnsi="仿宋_GB2312" w:cs="仿宋_GB2312" w:eastAsia="仿宋_GB2312"/>
                      <w:sz w:val="19"/>
                    </w:rPr>
                    <w:t>（一）采购招标的数量</w:t>
                  </w:r>
                </w:p>
                <w:tbl>
                  <w:tblPr>
                    <w:tblInd w:type="dxa" w:w="15"/>
                    <w:tblBorders>
                      <w:top w:val="none" w:color="000000" w:sz="4"/>
                      <w:left w:val="none" w:color="000000" w:sz="4"/>
                      <w:bottom w:val="none" w:color="000000" w:sz="4"/>
                      <w:right w:val="none" w:color="000000" w:sz="4"/>
                      <w:insideH w:val="none"/>
                      <w:insideV w:val="none"/>
                    </w:tblBorders>
                  </w:tblPr>
                  <w:tblGrid>
                    <w:gridCol w:w="698"/>
                    <w:gridCol w:w="674"/>
                    <w:gridCol w:w="965"/>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相关情况</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人数</w:t>
                        </w:r>
                      </w:p>
                    </w:tc>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医责险上险人数</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1280</w:t>
                        </w:r>
                        <w:r>
                          <w:rPr>
                            <w:rFonts w:ascii="仿宋_GB2312" w:hAnsi="仿宋_GB2312" w:cs="仿宋_GB2312" w:eastAsia="仿宋_GB2312"/>
                            <w:sz w:val="18"/>
                          </w:rPr>
                          <w:t>人次左右</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包含多点执业人员</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年门诊量</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约</w:t>
                        </w:r>
                        <w:r>
                          <w:rPr>
                            <w:rFonts w:ascii="仿宋_GB2312" w:hAnsi="仿宋_GB2312" w:cs="仿宋_GB2312" w:eastAsia="仿宋_GB2312"/>
                            <w:sz w:val="18"/>
                          </w:rPr>
                          <w:t>90</w:t>
                        </w:r>
                        <w:r>
                          <w:rPr>
                            <w:rFonts w:ascii="仿宋_GB2312" w:hAnsi="仿宋_GB2312" w:cs="仿宋_GB2312" w:eastAsia="仿宋_GB2312"/>
                            <w:sz w:val="18"/>
                          </w:rPr>
                          <w:t>万人次</w:t>
                        </w:r>
                      </w:p>
                    </w:tc>
                    <w:tc>
                      <w:tcPr>
                        <w:tcW w:type="dxa" w:w="9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年手术台次</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约</w:t>
                        </w:r>
                        <w:r>
                          <w:rPr>
                            <w:rFonts w:ascii="仿宋_GB2312" w:hAnsi="仿宋_GB2312" w:cs="仿宋_GB2312" w:eastAsia="仿宋_GB2312"/>
                            <w:sz w:val="18"/>
                          </w:rPr>
                          <w:t>3000</w:t>
                        </w:r>
                        <w:r>
                          <w:rPr>
                            <w:rFonts w:ascii="仿宋_GB2312" w:hAnsi="仿宋_GB2312" w:cs="仿宋_GB2312" w:eastAsia="仿宋_GB2312"/>
                            <w:sz w:val="18"/>
                          </w:rPr>
                          <w:t>例</w:t>
                        </w:r>
                      </w:p>
                    </w:tc>
                    <w:tc>
                      <w:tcPr>
                        <w:tcW w:type="dxa" w:w="965"/>
                        <w:vMerge/>
                        <w:tcBorders>
                          <w:top w:val="none" w:color="000000" w:sz="4"/>
                          <w:left w:val="single" w:color="000000" w:sz="4"/>
                          <w:bottom w:val="single" w:color="000000" w:sz="4"/>
                          <w:right w:val="single" w:color="000000" w:sz="4"/>
                        </w:tcBorders>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出院人次</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约</w:t>
                        </w:r>
                        <w:r>
                          <w:rPr>
                            <w:rFonts w:ascii="仿宋_GB2312" w:hAnsi="仿宋_GB2312" w:cs="仿宋_GB2312" w:eastAsia="仿宋_GB2312"/>
                            <w:sz w:val="18"/>
                          </w:rPr>
                          <w:t>4</w:t>
                        </w:r>
                        <w:r>
                          <w:rPr>
                            <w:rFonts w:ascii="仿宋_GB2312" w:hAnsi="仿宋_GB2312" w:cs="仿宋_GB2312" w:eastAsia="仿宋_GB2312"/>
                            <w:sz w:val="18"/>
                          </w:rPr>
                          <w:t>万余人次</w:t>
                        </w:r>
                      </w:p>
                    </w:tc>
                    <w:tc>
                      <w:tcPr>
                        <w:tcW w:type="dxa" w:w="965"/>
                        <w:vMerge/>
                        <w:tcBorders>
                          <w:top w:val="none" w:color="000000" w:sz="4"/>
                          <w:left w:val="single" w:color="000000" w:sz="4"/>
                          <w:bottom w:val="single" w:color="000000" w:sz="4"/>
                          <w:right w:val="single" w:color="000000" w:sz="4"/>
                        </w:tcBorders>
                      </w:tcP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病床数</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约</w:t>
                        </w:r>
                        <w:r>
                          <w:rPr>
                            <w:rFonts w:ascii="仿宋_GB2312" w:hAnsi="仿宋_GB2312" w:cs="仿宋_GB2312" w:eastAsia="仿宋_GB2312"/>
                            <w:sz w:val="18"/>
                          </w:rPr>
                          <w:t>1200</w:t>
                        </w:r>
                        <w:r>
                          <w:rPr>
                            <w:rFonts w:ascii="仿宋_GB2312" w:hAnsi="仿宋_GB2312" w:cs="仿宋_GB2312" w:eastAsia="仿宋_GB2312"/>
                            <w:sz w:val="18"/>
                          </w:rPr>
                          <w:t>张</w:t>
                        </w:r>
                      </w:p>
                    </w:tc>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bl>
                <w:p>
                  <w:pPr>
                    <w:pStyle w:val="null3"/>
                    <w:jc w:val="both"/>
                  </w:pPr>
                  <w:r>
                    <w:rPr>
                      <w:rFonts w:ascii="仿宋_GB2312" w:hAnsi="仿宋_GB2312" w:cs="仿宋_GB2312" w:eastAsia="仿宋_GB2312"/>
                      <w:sz w:val="19"/>
                    </w:rPr>
                    <w:t>注：此数据为</w:t>
                  </w:r>
                  <w:r>
                    <w:rPr>
                      <w:rFonts w:ascii="仿宋_GB2312" w:hAnsi="仿宋_GB2312" w:cs="仿宋_GB2312" w:eastAsia="仿宋_GB2312"/>
                      <w:sz w:val="19"/>
                    </w:rPr>
                    <w:t>2023</w:t>
                  </w:r>
                  <w:r>
                    <w:rPr>
                      <w:rFonts w:ascii="仿宋_GB2312" w:hAnsi="仿宋_GB2312" w:cs="仿宋_GB2312" w:eastAsia="仿宋_GB2312"/>
                      <w:sz w:val="19"/>
                    </w:rPr>
                    <w:t>年数据，实际数据会有变动，以实际发生结算。</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（二）采购项目交付或者实施的时间和地点</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采购项目（标的）交付的时间：陕西省中医医院指定时间</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采购项目（标的）交付的地点：陕西省中医医院指定地点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四、采购招标的需满足的服务标准、期限、效率等要求</w:t>
                  </w:r>
                </w:p>
                <w:p>
                  <w:pPr>
                    <w:pStyle w:val="null3"/>
                    <w:jc w:val="both"/>
                  </w:pPr>
                  <w:r>
                    <w:rPr>
                      <w:rFonts w:ascii="仿宋_GB2312" w:hAnsi="仿宋_GB2312" w:cs="仿宋_GB2312" w:eastAsia="仿宋_GB2312"/>
                      <w:sz w:val="19"/>
                    </w:rPr>
                    <w:t>（一）采购招标的需满足的服务标准、效率要求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供应商</w:t>
                  </w:r>
                  <w:r>
                    <w:rPr>
                      <w:rFonts w:ascii="仿宋_GB2312" w:hAnsi="仿宋_GB2312" w:cs="仿宋_GB2312" w:eastAsia="仿宋_GB2312"/>
                      <w:sz w:val="19"/>
                    </w:rPr>
                    <w:t>是根据中华人民共和国法律依法成立并在本协议期内有效存续的具有合法经营权的独立法人，具备全部法律法规及有关规定要求合法许可及资质证件。</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医院有权对投标人工作进行监督管理，并提出建议，同时有权要求投标人撤换其委派到医院的工作人员，投标人应严格遵守医院对医疗废物管理清运和处置的相关规定，服从医院的监督和管理，遵守相关规定，并满足相关要求。</w:t>
                  </w:r>
                </w:p>
                <w:p>
                  <w:pPr>
                    <w:pStyle w:val="null3"/>
                    <w:jc w:val="both"/>
                  </w:pPr>
                  <w:r>
                    <w:rPr>
                      <w:rFonts w:ascii="仿宋_GB2312" w:hAnsi="仿宋_GB2312" w:cs="仿宋_GB2312" w:eastAsia="仿宋_GB2312"/>
                      <w:sz w:val="19"/>
                    </w:rPr>
                    <w:t>（二）采购招标的需满足的服务期限要求</w:t>
                  </w:r>
                </w:p>
                <w:p>
                  <w:pPr>
                    <w:pStyle w:val="null3"/>
                    <w:jc w:val="both"/>
                  </w:pPr>
                  <w:r>
                    <w:rPr>
                      <w:rFonts w:ascii="仿宋_GB2312" w:hAnsi="仿宋_GB2312" w:cs="仿宋_GB2312" w:eastAsia="仿宋_GB2312"/>
                      <w:sz w:val="19"/>
                    </w:rPr>
                    <w:t>自合同签订之日起</w:t>
                  </w:r>
                  <w:r>
                    <w:rPr>
                      <w:rFonts w:ascii="仿宋_GB2312" w:hAnsi="仿宋_GB2312" w:cs="仿宋_GB2312" w:eastAsia="仿宋_GB2312"/>
                      <w:sz w:val="19"/>
                    </w:rPr>
                    <w:t>1</w:t>
                  </w:r>
                  <w:r>
                    <w:rPr>
                      <w:rFonts w:ascii="仿宋_GB2312" w:hAnsi="仿宋_GB2312" w:cs="仿宋_GB2312" w:eastAsia="仿宋_GB2312"/>
                      <w:sz w:val="19"/>
                    </w:rPr>
                    <w:t>年。</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五、采购招标的验收标准</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完成本项目采购需求要求的服务内容，不对采购人造成经济和社会声誉影响。</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完成采购人要求的工作内容。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六、采购招标的其他技术、服务等要求</w:t>
                  </w:r>
                </w:p>
                <w:p>
                  <w:pPr>
                    <w:pStyle w:val="null3"/>
                    <w:jc w:val="both"/>
                  </w:pPr>
                  <w:r>
                    <w:rPr>
                      <w:rFonts w:ascii="仿宋_GB2312" w:hAnsi="仿宋_GB2312" w:cs="仿宋_GB2312" w:eastAsia="仿宋_GB2312"/>
                      <w:sz w:val="19"/>
                    </w:rPr>
                    <w:t>投标人须提供保险服务方案、与外部机构合作情况、投标人的项目管理团队、供应商的偿付能力充足。</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七、采购招标的需满足的质量、安全、技术规格、物理特性等要求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 xml:space="preserve">.1 </w:t>
                  </w:r>
                  <w:r>
                    <w:rPr>
                      <w:rFonts w:ascii="仿宋_GB2312" w:hAnsi="仿宋_GB2312" w:cs="仿宋_GB2312" w:eastAsia="仿宋_GB2312"/>
                      <w:sz w:val="19"/>
                    </w:rPr>
                    <w:t>为陕西省中医医院及其医务人员提供满足医疗责任保险风险保障需求的医疗责任保险（包含多点执业人员）方案。</w:t>
                  </w:r>
                </w:p>
                <w:p>
                  <w:pPr>
                    <w:pStyle w:val="null3"/>
                    <w:jc w:val="both"/>
                  </w:pPr>
                  <w:r>
                    <w:rPr>
                      <w:rFonts w:ascii="仿宋_GB2312" w:hAnsi="仿宋_GB2312" w:cs="仿宋_GB2312" w:eastAsia="仿宋_GB2312"/>
                      <w:sz w:val="19"/>
                    </w:rPr>
                    <w:t xml:space="preserve">1.2 </w:t>
                  </w:r>
                  <w:r>
                    <w:rPr>
                      <w:rFonts w:ascii="仿宋_GB2312" w:hAnsi="仿宋_GB2312" w:cs="仿宋_GB2312" w:eastAsia="仿宋_GB2312"/>
                      <w:sz w:val="19"/>
                    </w:rPr>
                    <w:t>按照《陕西省推进医疗责任保险工作方案（试行）》（陕卫医发〔</w:t>
                  </w:r>
                  <w:r>
                    <w:rPr>
                      <w:rFonts w:ascii="仿宋_GB2312" w:hAnsi="仿宋_GB2312" w:cs="仿宋_GB2312" w:eastAsia="仿宋_GB2312"/>
                      <w:sz w:val="19"/>
                    </w:rPr>
                    <w:t>2014</w:t>
                  </w:r>
                  <w:r>
                    <w:rPr>
                      <w:rFonts w:ascii="仿宋_GB2312" w:hAnsi="仿宋_GB2312" w:cs="仿宋_GB2312" w:eastAsia="仿宋_GB2312"/>
                      <w:sz w:val="19"/>
                    </w:rPr>
                    <w:t>〕</w:t>
                  </w:r>
                  <w:r>
                    <w:rPr>
                      <w:rFonts w:ascii="仿宋_GB2312" w:hAnsi="仿宋_GB2312" w:cs="仿宋_GB2312" w:eastAsia="仿宋_GB2312"/>
                      <w:sz w:val="19"/>
                    </w:rPr>
                    <w:t>296</w:t>
                  </w:r>
                  <w:r>
                    <w:rPr>
                      <w:rFonts w:ascii="仿宋_GB2312" w:hAnsi="仿宋_GB2312" w:cs="仿宋_GB2312" w:eastAsia="仿宋_GB2312"/>
                      <w:sz w:val="19"/>
                    </w:rPr>
                    <w:t>号）的有关规定，对医院依法应该承担的赔偿责任，制定医方责任保险方案。</w:t>
                  </w:r>
                </w:p>
                <w:p>
                  <w:pPr>
                    <w:pStyle w:val="null3"/>
                    <w:jc w:val="both"/>
                  </w:pPr>
                  <w:r>
                    <w:rPr>
                      <w:rFonts w:ascii="仿宋_GB2312" w:hAnsi="仿宋_GB2312" w:cs="仿宋_GB2312" w:eastAsia="仿宋_GB2312"/>
                      <w:sz w:val="19"/>
                    </w:rPr>
                    <w:t>1.3</w:t>
                  </w:r>
                  <w:r>
                    <w:rPr>
                      <w:rFonts w:ascii="仿宋_GB2312" w:hAnsi="仿宋_GB2312" w:cs="仿宋_GB2312" w:eastAsia="仿宋_GB2312"/>
                      <w:sz w:val="19"/>
                    </w:rPr>
                    <w:t>承保公司应定期向医院提供接报案清单、未决案件处理进度、赔付案件情况等理赔信息。按年度汇总反馈医院赔偿分析总结（内容涵盖赔偿总额、赔偿科</w:t>
                  </w:r>
                  <w:r>
                    <w:rPr>
                      <w:rFonts w:ascii="仿宋_GB2312" w:hAnsi="仿宋_GB2312" w:cs="仿宋_GB2312" w:eastAsia="仿宋_GB2312"/>
                      <w:sz w:val="19"/>
                    </w:rPr>
                    <w:t>室、院方责任度、返款总额等）。</w:t>
                  </w:r>
                </w:p>
                <w:p>
                  <w:pPr>
                    <w:pStyle w:val="null3"/>
                    <w:jc w:val="both"/>
                  </w:pPr>
                  <w:r>
                    <w:rPr>
                      <w:rFonts w:ascii="仿宋_GB2312" w:hAnsi="仿宋_GB2312" w:cs="仿宋_GB2312" w:eastAsia="仿宋_GB2312"/>
                      <w:sz w:val="19"/>
                    </w:rPr>
                    <w:t>1.4.</w:t>
                  </w:r>
                  <w:r>
                    <w:rPr>
                      <w:rFonts w:ascii="仿宋_GB2312" w:hAnsi="仿宋_GB2312" w:cs="仿宋_GB2312" w:eastAsia="仿宋_GB2312"/>
                      <w:sz w:val="19"/>
                    </w:rPr>
                    <w:t>需执行的国家相关标准、行业标准、地方标准或者其他标准、规范：</w:t>
                  </w:r>
                </w:p>
                <w:p>
                  <w:pPr>
                    <w:pStyle w:val="null3"/>
                    <w:jc w:val="both"/>
                  </w:pPr>
                  <w:r>
                    <w:rPr>
                      <w:rFonts w:ascii="仿宋_GB2312" w:hAnsi="仿宋_GB2312" w:cs="仿宋_GB2312" w:eastAsia="仿宋_GB2312"/>
                      <w:sz w:val="19"/>
                    </w:rPr>
                    <w:t>1.4.1</w:t>
                  </w:r>
                  <w:r>
                    <w:rPr>
                      <w:rFonts w:ascii="仿宋_GB2312" w:hAnsi="仿宋_GB2312" w:cs="仿宋_GB2312" w:eastAsia="仿宋_GB2312"/>
                      <w:sz w:val="19"/>
                    </w:rPr>
                    <w:t>《关于加强医疗责任保险工作的意见》。</w:t>
                  </w:r>
                </w:p>
                <w:p>
                  <w:pPr>
                    <w:pStyle w:val="null3"/>
                    <w:jc w:val="both"/>
                  </w:pPr>
                  <w:r>
                    <w:rPr>
                      <w:rFonts w:ascii="仿宋_GB2312" w:hAnsi="仿宋_GB2312" w:cs="仿宋_GB2312" w:eastAsia="仿宋_GB2312"/>
                      <w:sz w:val="19"/>
                    </w:rPr>
                    <w:t>1.4.2</w:t>
                  </w:r>
                  <w:r>
                    <w:rPr>
                      <w:rFonts w:ascii="仿宋_GB2312" w:hAnsi="仿宋_GB2312" w:cs="仿宋_GB2312" w:eastAsia="仿宋_GB2312"/>
                      <w:sz w:val="19"/>
                    </w:rPr>
                    <w:t>《陕西省推进医疗责任保险工作方案（试行）》。</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服务标准、期限、效率等要求：</w:t>
                  </w:r>
                </w:p>
                <w:p>
                  <w:pPr>
                    <w:pStyle w:val="null3"/>
                    <w:jc w:val="both"/>
                  </w:pPr>
                  <w:r>
                    <w:rPr>
                      <w:rFonts w:ascii="仿宋_GB2312" w:hAnsi="仿宋_GB2312" w:cs="仿宋_GB2312" w:eastAsia="仿宋_GB2312"/>
                      <w:sz w:val="19"/>
                    </w:rPr>
                    <w:t xml:space="preserve">1.5.1 </w:t>
                  </w:r>
                  <w:r>
                    <w:rPr>
                      <w:rFonts w:ascii="仿宋_GB2312" w:hAnsi="仿宋_GB2312" w:cs="仿宋_GB2312" w:eastAsia="仿宋_GB2312"/>
                      <w:sz w:val="19"/>
                    </w:rPr>
                    <w:t>医院出险后，承保公司服务人员应在</w:t>
                  </w:r>
                  <w:r>
                    <w:rPr>
                      <w:rFonts w:ascii="仿宋_GB2312" w:hAnsi="仿宋_GB2312" w:cs="仿宋_GB2312" w:eastAsia="仿宋_GB2312"/>
                      <w:sz w:val="19"/>
                    </w:rPr>
                    <w:t>2</w:t>
                  </w:r>
                  <w:r>
                    <w:rPr>
                      <w:rFonts w:ascii="仿宋_GB2312" w:hAnsi="仿宋_GB2312" w:cs="仿宋_GB2312" w:eastAsia="仿宋_GB2312"/>
                      <w:sz w:val="19"/>
                    </w:rPr>
                    <w:t>小时内响应（电话或线上），可在</w:t>
                  </w:r>
                  <w:r>
                    <w:rPr>
                      <w:rFonts w:ascii="仿宋_GB2312" w:hAnsi="仿宋_GB2312" w:cs="仿宋_GB2312" w:eastAsia="仿宋_GB2312"/>
                      <w:sz w:val="19"/>
                    </w:rPr>
                    <w:t>24</w:t>
                  </w:r>
                  <w:r>
                    <w:rPr>
                      <w:rFonts w:ascii="仿宋_GB2312" w:hAnsi="仿宋_GB2312" w:cs="仿宋_GB2312" w:eastAsia="仿宋_GB2312"/>
                      <w:sz w:val="19"/>
                    </w:rPr>
                    <w:t>小时内到达项目指定现场，提供现场服务。</w:t>
                  </w:r>
                </w:p>
                <w:p>
                  <w:pPr>
                    <w:pStyle w:val="null3"/>
                    <w:jc w:val="both"/>
                  </w:pPr>
                  <w:r>
                    <w:rPr>
                      <w:rFonts w:ascii="仿宋_GB2312" w:hAnsi="仿宋_GB2312" w:cs="仿宋_GB2312" w:eastAsia="仿宋_GB2312"/>
                      <w:sz w:val="19"/>
                    </w:rPr>
                    <w:t>1.5.2</w:t>
                  </w:r>
                  <w:r>
                    <w:rPr>
                      <w:rFonts w:ascii="仿宋_GB2312" w:hAnsi="仿宋_GB2312" w:cs="仿宋_GB2312" w:eastAsia="仿宋_GB2312"/>
                      <w:sz w:val="19"/>
                    </w:rPr>
                    <w:t>对于案件清楚、责任清晰的出险案件，承保公司应当在收到医院索赔申请后及时核定保险责任，最长不超过</w:t>
                  </w:r>
                  <w:r>
                    <w:rPr>
                      <w:rFonts w:ascii="仿宋_GB2312" w:hAnsi="仿宋_GB2312" w:cs="仿宋_GB2312" w:eastAsia="仿宋_GB2312"/>
                      <w:sz w:val="19"/>
                    </w:rPr>
                    <w:t>30</w:t>
                  </w:r>
                  <w:r>
                    <w:rPr>
                      <w:rFonts w:ascii="仿宋_GB2312" w:hAnsi="仿宋_GB2312" w:cs="仿宋_GB2312" w:eastAsia="仿宋_GB2312"/>
                      <w:sz w:val="19"/>
                    </w:rPr>
                    <w:t>个自然日，达成赔偿协议后</w:t>
                  </w:r>
                  <w:r>
                    <w:rPr>
                      <w:rFonts w:ascii="仿宋_GB2312" w:hAnsi="仿宋_GB2312" w:cs="仿宋_GB2312" w:eastAsia="仿宋_GB2312"/>
                      <w:sz w:val="19"/>
                    </w:rPr>
                    <w:t>5</w:t>
                  </w:r>
                  <w:r>
                    <w:rPr>
                      <w:rFonts w:ascii="仿宋_GB2312" w:hAnsi="仿宋_GB2312" w:cs="仿宋_GB2312" w:eastAsia="仿宋_GB2312"/>
                      <w:sz w:val="19"/>
                    </w:rPr>
                    <w:t>个自然日内给付保险金；对于不属于保险责任的，保险机构应当自作出核定之日起</w:t>
                  </w:r>
                  <w:r>
                    <w:rPr>
                      <w:rFonts w:ascii="仿宋_GB2312" w:hAnsi="仿宋_GB2312" w:cs="仿宋_GB2312" w:eastAsia="仿宋_GB2312"/>
                      <w:sz w:val="19"/>
                    </w:rPr>
                    <w:t>3</w:t>
                  </w:r>
                  <w:r>
                    <w:rPr>
                      <w:rFonts w:ascii="仿宋_GB2312" w:hAnsi="仿宋_GB2312" w:cs="仿宋_GB2312" w:eastAsia="仿宋_GB2312"/>
                      <w:sz w:val="19"/>
                    </w:rPr>
                    <w:t>个自然日内向医院发出拒赔通知书，并说明理由；对于复杂案件，保险机构在案件材料收集齐全之日起</w:t>
                  </w:r>
                  <w:r>
                    <w:rPr>
                      <w:rFonts w:ascii="仿宋_GB2312" w:hAnsi="仿宋_GB2312" w:cs="仿宋_GB2312" w:eastAsia="仿宋_GB2312"/>
                      <w:sz w:val="19"/>
                    </w:rPr>
                    <w:t>60</w:t>
                  </w:r>
                  <w:r>
                    <w:rPr>
                      <w:rFonts w:ascii="仿宋_GB2312" w:hAnsi="仿宋_GB2312" w:cs="仿宋_GB2312" w:eastAsia="仿宋_GB2312"/>
                      <w:sz w:val="19"/>
                    </w:rPr>
                    <w:t>个自然日内对能确定的赔偿金额完成预支付，待最终赔偿金额确定后再支付相应的差额。</w:t>
                  </w:r>
                </w:p>
                <w:p>
                  <w:pPr>
                    <w:pStyle w:val="null3"/>
                    <w:jc w:val="both"/>
                  </w:pPr>
                  <w:r>
                    <w:rPr>
                      <w:rFonts w:ascii="仿宋_GB2312" w:hAnsi="仿宋_GB2312" w:cs="仿宋_GB2312" w:eastAsia="仿宋_GB2312"/>
                      <w:sz w:val="19"/>
                    </w:rPr>
                    <w:t>1.5</w:t>
                  </w:r>
                  <w:r>
                    <w:rPr>
                      <w:rFonts w:ascii="仿宋_GB2312" w:hAnsi="仿宋_GB2312" w:cs="仿宋_GB2312" w:eastAsia="仿宋_GB2312"/>
                      <w:sz w:val="19"/>
                    </w:rPr>
                    <w:t xml:space="preserve">.3 </w:t>
                  </w:r>
                  <w:r>
                    <w:rPr>
                      <w:rFonts w:ascii="仿宋_GB2312" w:hAnsi="仿宋_GB2312" w:cs="仿宋_GB2312" w:eastAsia="仿宋_GB2312"/>
                      <w:sz w:val="19"/>
                    </w:rPr>
                    <w:t>医责险每次事故免赔额</w:t>
                  </w:r>
                  <w:r>
                    <w:rPr>
                      <w:rFonts w:ascii="仿宋_GB2312" w:hAnsi="仿宋_GB2312" w:cs="仿宋_GB2312" w:eastAsia="仿宋_GB2312"/>
                      <w:sz w:val="19"/>
                    </w:rPr>
                    <w:t>1000</w:t>
                  </w:r>
                  <w:r>
                    <w:rPr>
                      <w:rFonts w:ascii="仿宋_GB2312" w:hAnsi="仿宋_GB2312" w:cs="仿宋_GB2312" w:eastAsia="仿宋_GB2312"/>
                      <w:sz w:val="19"/>
                    </w:rPr>
                    <w:t>或赔偿金额的</w:t>
                  </w:r>
                  <w:r>
                    <w:rPr>
                      <w:rFonts w:ascii="仿宋_GB2312" w:hAnsi="仿宋_GB2312" w:cs="仿宋_GB2312" w:eastAsia="仿宋_GB2312"/>
                      <w:sz w:val="19"/>
                    </w:rPr>
                    <w:t>5%</w:t>
                  </w:r>
                  <w:r>
                    <w:rPr>
                      <w:rFonts w:ascii="仿宋_GB2312" w:hAnsi="仿宋_GB2312" w:cs="仿宋_GB2312" w:eastAsia="仿宋_GB2312"/>
                      <w:sz w:val="19"/>
                    </w:rPr>
                    <w:t>，对应由医院支付的仲裁或诉讼费用以及其他必要的、合理的费用，承保公司也应负责赔偿，无正当理由，承保公司应按保险合同条款规定的理赔标准进行理赔。</w:t>
                  </w:r>
                </w:p>
                <w:p>
                  <w:pPr>
                    <w:pStyle w:val="null3"/>
                    <w:jc w:val="both"/>
                  </w:pPr>
                  <w:r>
                    <w:rPr>
                      <w:rFonts w:ascii="仿宋_GB2312" w:hAnsi="仿宋_GB2312" w:cs="仿宋_GB2312" w:eastAsia="仿宋_GB2312"/>
                      <w:sz w:val="19"/>
                    </w:rPr>
                    <w:t>1.5.4</w:t>
                  </w:r>
                  <w:r>
                    <w:rPr>
                      <w:rFonts w:ascii="仿宋_GB2312" w:hAnsi="仿宋_GB2312" w:cs="仿宋_GB2312" w:eastAsia="仿宋_GB2312"/>
                      <w:sz w:val="19"/>
                    </w:rPr>
                    <w:t>医疗责任险（包含多点执业人员）：赔偿限额不低于：个案赔偿</w:t>
                  </w:r>
                  <w:r>
                    <w:rPr>
                      <w:rFonts w:ascii="仿宋_GB2312" w:hAnsi="仿宋_GB2312" w:cs="仿宋_GB2312" w:eastAsia="仿宋_GB2312"/>
                      <w:sz w:val="19"/>
                    </w:rPr>
                    <w:t>20</w:t>
                  </w:r>
                  <w:r>
                    <w:rPr>
                      <w:rFonts w:ascii="仿宋_GB2312" w:hAnsi="仿宋_GB2312" w:cs="仿宋_GB2312" w:eastAsia="仿宋_GB2312"/>
                      <w:sz w:val="19"/>
                    </w:rPr>
                    <w:t>万元</w:t>
                  </w:r>
                  <w:r>
                    <w:rPr>
                      <w:rFonts w:ascii="仿宋_GB2312" w:hAnsi="仿宋_GB2312" w:cs="仿宋_GB2312" w:eastAsia="仿宋_GB2312"/>
                      <w:sz w:val="19"/>
                    </w:rPr>
                    <w:t>,</w:t>
                  </w:r>
                  <w:r>
                    <w:rPr>
                      <w:rFonts w:ascii="仿宋_GB2312" w:hAnsi="仿宋_GB2312" w:cs="仿宋_GB2312" w:eastAsia="仿宋_GB2312"/>
                      <w:sz w:val="19"/>
                    </w:rPr>
                    <w:t>年度累计赔偿限额</w:t>
                  </w:r>
                  <w:r>
                    <w:rPr>
                      <w:rFonts w:ascii="仿宋_GB2312" w:hAnsi="仿宋_GB2312" w:cs="仿宋_GB2312" w:eastAsia="仿宋_GB2312"/>
                      <w:sz w:val="19"/>
                    </w:rPr>
                    <w:t>300</w:t>
                  </w:r>
                  <w:r>
                    <w:rPr>
                      <w:rFonts w:ascii="仿宋_GB2312" w:hAnsi="仿宋_GB2312" w:cs="仿宋_GB2312" w:eastAsia="仿宋_GB2312"/>
                      <w:sz w:val="19"/>
                    </w:rPr>
                    <w:t>万元。</w:t>
                  </w:r>
                </w:p>
                <w:p>
                  <w:pPr>
                    <w:pStyle w:val="null3"/>
                    <w:jc w:val="both"/>
                  </w:pPr>
                  <w:r>
                    <w:rPr>
                      <w:rFonts w:ascii="仿宋_GB2312" w:hAnsi="仿宋_GB2312" w:cs="仿宋_GB2312" w:eastAsia="仿宋_GB2312"/>
                      <w:sz w:val="19"/>
                    </w:rPr>
                    <w:t>法律费用赔偿限额不低于：个案赔偿</w:t>
                  </w:r>
                  <w:r>
                    <w:rPr>
                      <w:rFonts w:ascii="仿宋_GB2312" w:hAnsi="仿宋_GB2312" w:cs="仿宋_GB2312" w:eastAsia="仿宋_GB2312"/>
                      <w:sz w:val="19"/>
                    </w:rPr>
                    <w:t>2</w:t>
                  </w:r>
                  <w:r>
                    <w:rPr>
                      <w:rFonts w:ascii="仿宋_GB2312" w:hAnsi="仿宋_GB2312" w:cs="仿宋_GB2312" w:eastAsia="仿宋_GB2312"/>
                      <w:sz w:val="19"/>
                    </w:rPr>
                    <w:t>万，累计赔偿限额</w:t>
                  </w:r>
                  <w:r>
                    <w:rPr>
                      <w:rFonts w:ascii="仿宋_GB2312" w:hAnsi="仿宋_GB2312" w:cs="仿宋_GB2312" w:eastAsia="仿宋_GB2312"/>
                      <w:sz w:val="19"/>
                    </w:rPr>
                    <w:t>20</w:t>
                  </w:r>
                  <w:r>
                    <w:rPr>
                      <w:rFonts w:ascii="仿宋_GB2312" w:hAnsi="仿宋_GB2312" w:cs="仿宋_GB2312" w:eastAsia="仿宋_GB2312"/>
                      <w:sz w:val="19"/>
                    </w:rPr>
                    <w:t>万元。</w:t>
                  </w:r>
                </w:p>
                <w:p>
                  <w:pPr>
                    <w:pStyle w:val="null3"/>
                    <w:jc w:val="both"/>
                  </w:pPr>
                  <w:r>
                    <w:rPr>
                      <w:rFonts w:ascii="仿宋_GB2312" w:hAnsi="仿宋_GB2312" w:cs="仿宋_GB2312" w:eastAsia="仿宋_GB2312"/>
                      <w:sz w:val="19"/>
                    </w:rPr>
                    <w:t>1.5.5</w:t>
                  </w:r>
                  <w:r>
                    <w:rPr>
                      <w:rFonts w:ascii="仿宋_GB2312" w:hAnsi="仿宋_GB2312" w:cs="仿宋_GB2312" w:eastAsia="仿宋_GB2312"/>
                      <w:sz w:val="19"/>
                    </w:rPr>
                    <w:t>投标人须根据本项目采购需求制定保险服务方案（医疗责任险</w:t>
                  </w:r>
                  <w:r>
                    <w:rPr>
                      <w:rFonts w:ascii="仿宋_GB2312" w:hAnsi="仿宋_GB2312" w:cs="仿宋_GB2312" w:eastAsia="仿宋_GB2312"/>
                      <w:sz w:val="19"/>
                    </w:rPr>
                    <w:t>-</w:t>
                  </w:r>
                  <w:r>
                    <w:rPr>
                      <w:rFonts w:ascii="仿宋_GB2312" w:hAnsi="仿宋_GB2312" w:cs="仿宋_GB2312" w:eastAsia="仿宋_GB2312"/>
                      <w:sz w:val="19"/>
                    </w:rPr>
                    <w:t>含多点执业人员），险种及服务齐全，有合理的承保和理赔实施方案，具有丰富的开展手术意外保险经验。</w:t>
                  </w:r>
                </w:p>
                <w:p>
                  <w:pPr>
                    <w:pStyle w:val="null3"/>
                    <w:jc w:val="both"/>
                  </w:pPr>
                  <w:r>
                    <w:rPr>
                      <w:rFonts w:ascii="仿宋_GB2312" w:hAnsi="仿宋_GB2312" w:cs="仿宋_GB2312" w:eastAsia="仿宋_GB2312"/>
                      <w:sz w:val="19"/>
                    </w:rPr>
                    <w:t>1.6</w:t>
                  </w:r>
                  <w:r>
                    <w:rPr>
                      <w:rFonts w:ascii="仿宋_GB2312" w:hAnsi="仿宋_GB2312" w:cs="仿宋_GB2312" w:eastAsia="仿宋_GB2312"/>
                      <w:sz w:val="19"/>
                    </w:rPr>
                    <w:t>项目团队要求：</w:t>
                  </w:r>
                </w:p>
                <w:p>
                  <w:pPr>
                    <w:pStyle w:val="null3"/>
                    <w:jc w:val="both"/>
                  </w:pPr>
                  <w:r>
                    <w:rPr>
                      <w:rFonts w:ascii="仿宋_GB2312" w:hAnsi="仿宋_GB2312" w:cs="仿宋_GB2312" w:eastAsia="仿宋_GB2312"/>
                      <w:sz w:val="19"/>
                    </w:rPr>
                    <w:t>1.6.1</w:t>
                  </w:r>
                  <w:r>
                    <w:rPr>
                      <w:rFonts w:ascii="仿宋_GB2312" w:hAnsi="仿宋_GB2312" w:cs="仿宋_GB2312" w:eastAsia="仿宋_GB2312"/>
                      <w:sz w:val="19"/>
                    </w:rPr>
                    <w:t>投标人应设置并成立专门的项目团队承担医责险保险业务团队，投标人须提供设立项目团队承担医责险的证明文件并加盖投标人公章，并提供项目团队的人员名称、数量、项目经验、资质能内容</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1.6.2</w:t>
                  </w:r>
                  <w:r>
                    <w:rPr>
                      <w:rFonts w:ascii="仿宋_GB2312" w:hAnsi="仿宋_GB2312" w:cs="仿宋_GB2312" w:eastAsia="仿宋_GB2312"/>
                      <w:sz w:val="19"/>
                    </w:rPr>
                    <w:t>投标人应为本项目成立不少于</w:t>
                  </w:r>
                  <w:r>
                    <w:rPr>
                      <w:rFonts w:ascii="仿宋_GB2312" w:hAnsi="仿宋_GB2312" w:cs="仿宋_GB2312" w:eastAsia="仿宋_GB2312"/>
                      <w:sz w:val="19"/>
                    </w:rPr>
                    <w:t>5</w:t>
                  </w:r>
                  <w:r>
                    <w:rPr>
                      <w:rFonts w:ascii="仿宋_GB2312" w:hAnsi="仿宋_GB2312" w:cs="仿宋_GB2312" w:eastAsia="仿宋_GB2312"/>
                      <w:sz w:val="19"/>
                    </w:rPr>
                    <w:t>人的项目团队，团队成员均应具备医疗责任保险项目承保或理赔经验不少于</w:t>
                  </w:r>
                  <w:r>
                    <w:rPr>
                      <w:rFonts w:ascii="仿宋_GB2312" w:hAnsi="仿宋_GB2312" w:cs="仿宋_GB2312" w:eastAsia="仿宋_GB2312"/>
                      <w:sz w:val="19"/>
                    </w:rPr>
                    <w:t>5</w:t>
                  </w:r>
                  <w:r>
                    <w:rPr>
                      <w:rFonts w:ascii="仿宋_GB2312" w:hAnsi="仿宋_GB2312" w:cs="仿宋_GB2312" w:eastAsia="仿宋_GB2312"/>
                      <w:sz w:val="19"/>
                    </w:rPr>
                    <w:t>年，投标人须提供设立项目团队承担医责险的证明文件，并提供项目团队的人员团队人员简历包括名称、数量、项目经验、从业年限等内容。</w:t>
                  </w:r>
                </w:p>
                <w:p>
                  <w:pPr>
                    <w:pStyle w:val="null3"/>
                    <w:jc w:val="both"/>
                  </w:pPr>
                  <w:r>
                    <w:rPr>
                      <w:rFonts w:ascii="仿宋_GB2312" w:hAnsi="仿宋_GB2312" w:cs="仿宋_GB2312" w:eastAsia="仿宋_GB2312"/>
                      <w:sz w:val="19"/>
                    </w:rPr>
                    <w:t>1.6.3</w:t>
                  </w:r>
                  <w:r>
                    <w:rPr>
                      <w:rFonts w:ascii="仿宋_GB2312" w:hAnsi="仿宋_GB2312" w:cs="仿宋_GB2312" w:eastAsia="仿宋_GB2312"/>
                      <w:sz w:val="19"/>
                    </w:rPr>
                    <w:t>团队成员中至少有</w:t>
                  </w:r>
                  <w:r>
                    <w:rPr>
                      <w:rFonts w:ascii="仿宋_GB2312" w:hAnsi="仿宋_GB2312" w:cs="仿宋_GB2312" w:eastAsia="仿宋_GB2312"/>
                      <w:sz w:val="19"/>
                    </w:rPr>
                    <w:t>1</w:t>
                  </w:r>
                  <w:r>
                    <w:rPr>
                      <w:rFonts w:ascii="仿宋_GB2312" w:hAnsi="仿宋_GB2312" w:cs="仿宋_GB2312" w:eastAsia="仿宋_GB2312"/>
                      <w:sz w:val="19"/>
                    </w:rPr>
                    <w:t>人专职服务本项目，投标人须提供专职服务本项目的承诺函并加盖投标人公章。</w:t>
                  </w:r>
                </w:p>
                <w:p>
                  <w:pPr>
                    <w:pStyle w:val="null3"/>
                    <w:jc w:val="both"/>
                  </w:pPr>
                  <w:r>
                    <w:rPr>
                      <w:rFonts w:ascii="仿宋_GB2312" w:hAnsi="仿宋_GB2312" w:cs="仿宋_GB2312" w:eastAsia="仿宋_GB2312"/>
                      <w:sz w:val="19"/>
                    </w:rPr>
                    <w:t>1.7</w:t>
                  </w:r>
                  <w:r>
                    <w:rPr>
                      <w:rFonts w:ascii="仿宋_GB2312" w:hAnsi="仿宋_GB2312" w:cs="仿宋_GB2312" w:eastAsia="仿宋_GB2312"/>
                      <w:sz w:val="19"/>
                    </w:rPr>
                    <w:t>投标人与外部机构合作情况：投标人须与项目所在地医疗纠纷人民调解委员会、与其他专业医疗调解机构、与侧重医疗卫生法律服务</w:t>
                  </w:r>
                  <w:r>
                    <w:rPr>
                      <w:rFonts w:ascii="仿宋_GB2312" w:hAnsi="仿宋_GB2312" w:cs="仿宋_GB2312" w:eastAsia="仿宋_GB2312"/>
                      <w:sz w:val="19"/>
                    </w:rPr>
                    <w:t>的律师事务所的合作关系证明。</w:t>
                  </w:r>
                </w:p>
                <w:p>
                  <w:pPr>
                    <w:pStyle w:val="null3"/>
                    <w:jc w:val="both"/>
                  </w:pPr>
                  <w:r>
                    <w:rPr>
                      <w:rFonts w:ascii="仿宋_GB2312" w:hAnsi="仿宋_GB2312" w:cs="仿宋_GB2312" w:eastAsia="仿宋_GB2312"/>
                      <w:sz w:val="19"/>
                    </w:rPr>
                    <w:t>1.8</w:t>
                  </w:r>
                  <w:r>
                    <w:rPr>
                      <w:rFonts w:ascii="仿宋_GB2312" w:hAnsi="仿宋_GB2312" w:cs="仿宋_GB2312" w:eastAsia="仿宋_GB2312"/>
                      <w:sz w:val="19"/>
                    </w:rPr>
                    <w:t>投标人须提供</w:t>
                  </w:r>
                  <w:r>
                    <w:rPr>
                      <w:rFonts w:ascii="仿宋_GB2312" w:hAnsi="仿宋_GB2312" w:cs="仿宋_GB2312" w:eastAsia="仿宋_GB2312"/>
                      <w:sz w:val="19"/>
                    </w:rPr>
                    <w:t>20</w:t>
                  </w:r>
                  <w:r>
                    <w:rPr>
                      <w:rFonts w:ascii="仿宋_GB2312" w:hAnsi="仿宋_GB2312" w:cs="仿宋_GB2312" w:eastAsia="仿宋_GB2312"/>
                      <w:sz w:val="19"/>
                    </w:rPr>
                    <w:t>24</w:t>
                  </w:r>
                  <w:r>
                    <w:rPr>
                      <w:rFonts w:ascii="仿宋_GB2312" w:hAnsi="仿宋_GB2312" w:cs="仿宋_GB2312" w:eastAsia="仿宋_GB2312"/>
                      <w:sz w:val="19"/>
                    </w:rPr>
                    <w:t>年的偿付能力充足率（提供会计师事务所出具的偿付能力报告）</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投标人须提供保险服务方案、与外部机构合作情况、投标人的项目管理团队、供应商的偿付能力充足。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1.完成本项目采购需求要求的服务内容，不对采购人造成经济和社会声誉影响。 2.完成采购人要求的工作内容。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签订合同后，按实际人数据实结算支付合同金额，收到乙方出具的正式发票、加盖乙方公章的付款申请书后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 3、在执行本合同中发生的或与本合同有关的争端，双方应通过友好协商解决，经协商在15天内不能达成协议时，应提交西安仲裁委员会仲裁。 4、仲裁裁决应为最终决定，并对双方具有约束力。 5、除另有裁决外，仲裁费应由败诉方负担。 6、在仲裁期间，除正在进行仲裁部分外，合同其他部分继续执行。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不专门面向中小企业采购。本项目所属行业：其他未列明行业（根据《工业和信息化部、国家统计局、国家发展和改革委员会、财政部关于印发中小企业划型标准规定的通知》（工信部联企业〔2011〕300 号）规定的划分标准，从业人员 300 人以下的为中小微型企业。其中，从业人员 100 人及以上的为中型企业；从业人员 10 人及以上的为小型企业；从业人员 10人以下的为微型企业。） 二）其他： （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未央区朱宏路福清商会大厦11楼1101室（陕西华达峰信项目管理有限公司）。（2）供应商务必在开标截止时间30分钟前，通过项目电子化交易系统进行签到，如未进行签到，产生的一起后果由供应商自行承担。（3）签名是指手写签名或者加盖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 （2）财务状况:提供2023年度或2024年度的审计报告(成立时间至提交投标文件截止时间不足一年的可提供成立后任意时段的资产负债表)，或其基本存款账户开户银行出具的近3个月内的资信证明及基本存款账户开户许可证（基本账户信息表）；（3）税收缴纳证明：提供投标截止时间前6个月内至少一个月的纳税证明或完税证明（任意税种，个人所得税除外），依法免税的单位应提供相关证明材料；（4）社会保障资金缴纳证明：提供投标截止时间前6个月内至少一个月的社会保障资金缴存单据或社保机构开具的社会保险参保缴费情况证明，依法不需要缴纳社会保障资金的单位应提供相关证明材料；（5）供应商须提供具有履行合同所必需的设备和专业技术能力的承诺；（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供应商参与政府采购活动的承诺函.docx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的审计报告(成立时间至提交投标文件截止时间不足一年的可提供成立后任意时段的资产负债表)，或其基本存款账户开户银行出具的近3个月内的资信证明及基本存款账户开户许可证（基本账户信息表）；</w:t>
            </w:r>
          </w:p>
        </w:tc>
        <w:tc>
          <w:tcPr>
            <w:tcW w:type="dxa" w:w="1661"/>
          </w:tcPr>
          <w:p>
            <w:pPr>
              <w:pStyle w:val="null3"/>
            </w:pPr>
            <w:r>
              <w:rPr>
                <w:rFonts w:ascii="仿宋_GB2312" w:hAnsi="仿宋_GB2312" w:cs="仿宋_GB2312" w:eastAsia="仿宋_GB2312"/>
              </w:rPr>
              <w:t>供应商参与政府采购活动的承诺函.docx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供应商参与政府采购活动的承诺函.docx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审计报告(成立时间至提交投标文件截止时间不足一年的可提供成立后任意时段的资产负债表)，或其基本存款账户开户银行出具的近3个月内的资信证明及基本存款账户开户许可证（基本账户信息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主要负责人）授权委托代理人参加投标时，应提供法定代表人（主要负责人）委托授权书；法定代表人（主要负责人）亲自参加投标时，应提供法定代表人（主要负责人）身份证明书，被授权人须提供在本单位缴纳的近三个月内的社保记录；</w:t>
            </w:r>
          </w:p>
        </w:tc>
        <w:tc>
          <w:tcPr>
            <w:tcW w:type="dxa" w:w="1661"/>
          </w:tcPr>
          <w:p>
            <w:pPr>
              <w:pStyle w:val="null3"/>
            </w:pPr>
            <w:r>
              <w:rPr>
                <w:rFonts w:ascii="仿宋_GB2312" w:hAnsi="仿宋_GB2312" w:cs="仿宋_GB2312" w:eastAsia="仿宋_GB2312"/>
              </w:rPr>
              <w:t>投标函 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其他证明材料.docx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评标委员会审查投标文件是否完整，文件签署是否合格、投标有效期是否满足招标文件要求，商务及技术响应满足招标文件要求等。</w:t>
            </w:r>
          </w:p>
        </w:tc>
        <w:tc>
          <w:tcPr>
            <w:tcW w:type="dxa" w:w="1661"/>
          </w:tcPr>
          <w:p>
            <w:pPr>
              <w:pStyle w:val="null3"/>
            </w:pPr>
            <w:r>
              <w:rPr>
                <w:rFonts w:ascii="仿宋_GB2312" w:hAnsi="仿宋_GB2312" w:cs="仿宋_GB2312" w:eastAsia="仿宋_GB2312"/>
              </w:rPr>
              <w:t>开标一览表 业绩.docx 中小企业声明函 其他证明材料.docx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开标一览表 业绩.docx 中小企业声明函 其他证明材料.docx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按招标文件要求报价，不得提交选择性报价，且不超过采购预算金额或最高限价。</w:t>
            </w:r>
          </w:p>
        </w:tc>
        <w:tc>
          <w:tcPr>
            <w:tcW w:type="dxa" w:w="1661"/>
          </w:tcPr>
          <w:p>
            <w:pPr>
              <w:pStyle w:val="null3"/>
            </w:pPr>
            <w:r>
              <w:rPr>
                <w:rFonts w:ascii="仿宋_GB2312" w:hAnsi="仿宋_GB2312" w:cs="仿宋_GB2312" w:eastAsia="仿宋_GB2312"/>
              </w:rPr>
              <w:t>开标一览表 业绩.docx 中小企业声明函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开标一览表 业绩.docx 中小企业声明函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开标一览表 业绩.docx 中小企业声明函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至少以下三处的项目名称、项目编号、标段（未分标段的除外）与本项目完全一致： （1）投标文件封面 （2）投标函 （3）法定代表人（主要负责人）委托授权书\身份证明 （4）供应商名称的一致性，包括但不限于供应商营业执照、投标文件格式中供应商名称、电子化签章的供应商名称。</w:t>
            </w:r>
          </w:p>
        </w:tc>
        <w:tc>
          <w:tcPr>
            <w:tcW w:type="dxa" w:w="1661"/>
          </w:tcPr>
          <w:p>
            <w:pPr>
              <w:pStyle w:val="null3"/>
            </w:pPr>
            <w:r>
              <w:rPr>
                <w:rFonts w:ascii="仿宋_GB2312" w:hAnsi="仿宋_GB2312" w:cs="仿宋_GB2312" w:eastAsia="仿宋_GB2312"/>
              </w:rPr>
              <w:t>开标一览表 业绩.docx 中小企业声明函 商务条款响应偏离表.docx 服务条款响应偏离表.docx 资格证明文件.docx 投标函 残疾人福利性单位声明函 供应商参与政府采购活动的承诺函.docx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符合性审查其他要求：此外出现下列情况之一者（但不限于），按无效文件处理，并不得进入评分环节：A、供应商未经过正常渠道领取招标文件，或供应商名称与领取招标文件时登记的供应商名称不符的；B、供应商针对同一项目递交两份或多份内容不同的响应文件，未书面声明哪一份是有效的或出现选择性报价的；C、提供虚假技术性能指标；提供虚假资质、虚假资料、虚假证明（包括第三方提供的虚假证明）；出现虚假应答、承诺、声明的；D、供应商附加了采购单位难以接受的条件或条款的；E、供应商前期参与了本次项目方案设计的；F、在政府采购或其它重大项目履约过程中有不良记录或未能按期履约的；G、供应商使用虚假印章或印章无法证实为真实有效；H、报价子目出现漏项或未单独编制详细的分项报价表；I、供应商响应的采购范围及采购内容与招标文件要求出现重大负偏差的；J、实质性内容不满足、未完全未响应招标要求或擅自改动采购清单的；K、供应商有串通参与投标、行贿等违法行为的；L、响应文件的内容模糊、无法辨认的；M、不符合法律、法规规定的其它实质性要求的。</w:t>
            </w:r>
          </w:p>
        </w:tc>
        <w:tc>
          <w:tcPr>
            <w:tcW w:type="dxa" w:w="1661"/>
          </w:tcPr>
          <w:p>
            <w:pPr>
              <w:pStyle w:val="null3"/>
            </w:pPr>
            <w:r>
              <w:rPr>
                <w:rFonts w:ascii="仿宋_GB2312" w:hAnsi="仿宋_GB2312" w:cs="仿宋_GB2312" w:eastAsia="仿宋_GB2312"/>
              </w:rPr>
              <w:t>开标一览表 业绩.docx 中小企业声明函 其他证明材料.docx 商务条款响应偏离表.docx 服务条款响应偏离表.docx 资格证明文件.docx 投标函 残疾人福利性单位声明函 供应商参与政府采购活动的承诺函.docx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提出针对于本项目的服务总体方案及措施，方案内容包含①保险责任方案②理赔范围③保险内容和保险金额（被保险人的给付标准）④赔付保障方案等。 二、赋分标准（满分12分） 整体服务方案内容完善、全面合理、架构完整、层次清楚、具有针对性和可实施性，得12分，缺失1项扣3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一、评审内容 具有完整的项目理赔服务方案，包括①项目理赔程序及服务流程②开展赔付工作的资料③报案时效、理赔时效④理赔响应时间。 二、赋分标准（满分12分） 整体服务方案内容完善、全面合理、架构完整、层次清楚、具有针对性和可实施性，得12分，缺失1项扣3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①项目团队成员不少于5人，每增加1人得0.5分，满分2分。 ②团队成员均应具备医疗责任保险项目承保或理赔经验不少于5年，每增加1年得1分，最高得3分。 注：提供相应人员的相关证明材料包括但不限于身份证、学历证明等，及近三个月由供应商或其上级公司缴纳的社保证明材料，未提供的不得分。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一、评审内容 根据拟投入本项目组织机构设置（人员数量、工作年限、工作经验）、人员职责及岗位分工等组织机构科学、规范、合理。 二、赋分标准（满分4分） 人员配备数量充足、职责明确、分工清晰、结构合理得4分。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根据投标人提供的应急方案包括但不限于①突发事件的处理机制和应急预案②预防和补救措施③对被保险人理赔材料的处理方案。 二、赋分标准（满分9分） 整体服务方案内容完善、全面合理、架构完整、层次清楚、具有针对性和可实施性，得9分，缺失1项扣3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 根据供应商提供的内控制度，内容包含①风险控制；②考核奖惩；③保密管理；④档案管理。 二、赋分标准（满分8分） 整体服务方案内容完善、全面合理、架构完整、层次清楚、具有针对性和可实施性，得8分，缺失1项扣2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根据投标人提供售后服务包括但不限于①售后服务保障措施②定期巡访方案。 二、赋分标准（满分6分） 整体服务方案内容完善、全面合理、架构完整、层次清楚、具有针对性和可实施性，得6分，缺失1项扣3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保证参保人员所有信息数据不得外泄，保密方案具体、切实可行、可追溯。 二、赋分标准（满分5分） 整体方案内容完善、全面合理、架构完整、层次清楚、具有针对性和可实施性，得5分，缺失扣5分。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一、评审内容 根据供应商提供的其总公司2024年度综合偿付能力充足率情况 二、赋分标准（满分3分） ①综合偿付能力充足率＜150%,不得分； ②150%≤综合偿付能力充足率＜180%,得1分； ③180%≤综合偿付能力充足率＜200%,得2分； ④综合偿付能力充足率≥200%,得3分。 注：提供会计师事务所出具的偿付能力报告复印件并加盖公章。未提供的本项得0分。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根据投标人提供的2022年1月1日至今同类项目业绩的情况，须提供合同复印件等证明材料（以合同签订日期为准，仅限投标人本身，提供完整合同复印件）进行评定，每份计2分，最高计6分。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价格分统一采用低价优先法计算，既满足招标文件要求且投标总报价最低为评标基准价，其价格分为满分。有效报价得分=（评标基准价/投标总报价）×权值×100。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