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EABFC">
      <w:pPr>
        <w:pStyle w:val="4"/>
        <w:spacing w:line="336" w:lineRule="auto"/>
        <w:ind w:firstLine="320" w:firstLineChars="1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基础硬件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清单</w:t>
      </w:r>
    </w:p>
    <w:p w14:paraId="3B06E90E">
      <w:pPr>
        <w:pStyle w:val="4"/>
        <w:spacing w:line="336" w:lineRule="auto"/>
        <w:ind w:firstLine="280" w:firstLineChars="100"/>
        <w:jc w:val="center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793"/>
        <w:gridCol w:w="1205"/>
        <w:gridCol w:w="1285"/>
        <w:gridCol w:w="1308"/>
        <w:gridCol w:w="1263"/>
        <w:gridCol w:w="983"/>
      </w:tblGrid>
      <w:tr w14:paraId="6DEF2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00" w:type="pct"/>
            <w:noWrap w:val="0"/>
            <w:vAlign w:val="center"/>
          </w:tcPr>
          <w:p w14:paraId="4DD6B1A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052" w:type="pct"/>
            <w:noWrap w:val="0"/>
            <w:vAlign w:val="center"/>
          </w:tcPr>
          <w:p w14:paraId="54770F80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  <w:p w14:paraId="689FA3CD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707" w:type="pct"/>
            <w:noWrap w:val="0"/>
            <w:vAlign w:val="center"/>
          </w:tcPr>
          <w:p w14:paraId="15E0A696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754" w:type="pct"/>
            <w:noWrap w:val="0"/>
            <w:vAlign w:val="center"/>
          </w:tcPr>
          <w:p w14:paraId="0B7DE497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 w14:paraId="39CBEE66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767" w:type="pct"/>
            <w:noWrap w:val="0"/>
            <w:vAlign w:val="center"/>
          </w:tcPr>
          <w:p w14:paraId="21B8F8BC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产地</w:t>
            </w:r>
          </w:p>
        </w:tc>
        <w:tc>
          <w:tcPr>
            <w:tcW w:w="741" w:type="pct"/>
            <w:noWrap w:val="0"/>
            <w:vAlign w:val="center"/>
          </w:tcPr>
          <w:p w14:paraId="5A1192B0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  <w:p w14:paraId="4BB12286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</w:t>
            </w:r>
          </w:p>
        </w:tc>
        <w:tc>
          <w:tcPr>
            <w:tcW w:w="576" w:type="pct"/>
            <w:noWrap w:val="0"/>
            <w:vAlign w:val="center"/>
          </w:tcPr>
          <w:p w14:paraId="3587C0A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</w:tr>
      <w:tr w14:paraId="0C171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00" w:type="pct"/>
            <w:noWrap w:val="0"/>
            <w:vAlign w:val="center"/>
          </w:tcPr>
          <w:p w14:paraId="42C6346A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052" w:type="pct"/>
            <w:noWrap w:val="0"/>
            <w:vAlign w:val="center"/>
          </w:tcPr>
          <w:p w14:paraId="771D5689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超融合服务器</w:t>
            </w:r>
          </w:p>
        </w:tc>
        <w:tc>
          <w:tcPr>
            <w:tcW w:w="707" w:type="pct"/>
            <w:noWrap w:val="0"/>
            <w:vAlign w:val="center"/>
          </w:tcPr>
          <w:p w14:paraId="49B38364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4" w:type="pct"/>
            <w:noWrap w:val="0"/>
            <w:vAlign w:val="center"/>
          </w:tcPr>
          <w:p w14:paraId="01AA2DA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7" w:type="pct"/>
            <w:noWrap w:val="0"/>
            <w:vAlign w:val="center"/>
          </w:tcPr>
          <w:p w14:paraId="2D95EFC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67073030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pct"/>
            <w:noWrap w:val="0"/>
            <w:vAlign w:val="center"/>
          </w:tcPr>
          <w:p w14:paraId="0F37DA02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33B15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400" w:type="pct"/>
            <w:noWrap w:val="0"/>
            <w:vAlign w:val="center"/>
          </w:tcPr>
          <w:p w14:paraId="751CA9C4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052" w:type="pct"/>
            <w:noWrap w:val="0"/>
            <w:vAlign w:val="center"/>
          </w:tcPr>
          <w:p w14:paraId="7E708763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核心交换机</w:t>
            </w:r>
          </w:p>
        </w:tc>
        <w:tc>
          <w:tcPr>
            <w:tcW w:w="707" w:type="pct"/>
            <w:noWrap w:val="0"/>
            <w:vAlign w:val="center"/>
          </w:tcPr>
          <w:p w14:paraId="079E69AE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4" w:type="pct"/>
            <w:noWrap w:val="0"/>
            <w:vAlign w:val="center"/>
          </w:tcPr>
          <w:p w14:paraId="1054AA89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7" w:type="pct"/>
            <w:noWrap w:val="0"/>
            <w:vAlign w:val="center"/>
          </w:tcPr>
          <w:p w14:paraId="30C4B491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pct"/>
            <w:noWrap w:val="0"/>
            <w:vAlign w:val="center"/>
          </w:tcPr>
          <w:p w14:paraId="0E2B13D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pct"/>
            <w:noWrap w:val="0"/>
            <w:vAlign w:val="center"/>
          </w:tcPr>
          <w:p w14:paraId="060B590A">
            <w:pPr>
              <w:pStyle w:val="4"/>
              <w:spacing w:line="24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572237A6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4D01A4F5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</w:rPr>
        <w:t>公章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____________________</w:t>
      </w:r>
    </w:p>
    <w:p w14:paraId="3F00DBF6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</w:rPr>
        <w:t>______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</w:rPr>
        <w:t>____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</w:rPr>
        <w:t>____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6814A26C">
      <w:pPr>
        <w:pStyle w:val="4"/>
        <w:spacing w:line="336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后附基础硬件技术响应与偏离表。</w:t>
      </w:r>
    </w:p>
    <w:p w14:paraId="0F37DCC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  <w:bookmarkStart w:id="0" w:name="_GoBack"/>
      <w:bookmarkEnd w:id="0"/>
    </w:p>
    <w:p w14:paraId="648C3602">
      <w:pPr>
        <w:pStyle w:val="4"/>
        <w:spacing w:line="336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技术响应与偏离表</w:t>
      </w:r>
    </w:p>
    <w:p w14:paraId="5EAFD4B9">
      <w:pPr>
        <w:pStyle w:val="4"/>
        <w:spacing w:line="336" w:lineRule="auto"/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3394E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51274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6A0D706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508ECC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1DD8688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7657CC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4D5194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02338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0301B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3C6F97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超融合服务器</w:t>
            </w:r>
          </w:p>
        </w:tc>
        <w:tc>
          <w:tcPr>
            <w:tcW w:w="2172" w:type="dxa"/>
            <w:noWrap w:val="0"/>
            <w:vAlign w:val="center"/>
          </w:tcPr>
          <w:p w14:paraId="50660A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C6907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5537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A60C73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7F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7B4E4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1E9B8F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7EBFAA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E9C1E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3BE0E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E5737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A88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97B11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14D0A67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228ED0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8DF3E3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BC367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95834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6D4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9B018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C1EE7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711EA95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389D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615EF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6475D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16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4F279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B639E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9DFD2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DB9D3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CC29A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74A315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1D9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642F8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3FFC23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核心交换机</w:t>
            </w:r>
          </w:p>
        </w:tc>
        <w:tc>
          <w:tcPr>
            <w:tcW w:w="2172" w:type="dxa"/>
            <w:noWrap w:val="0"/>
            <w:vAlign w:val="center"/>
          </w:tcPr>
          <w:p w14:paraId="4C94E6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3F884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1189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4EFF3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321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E9E64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7C4E7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793F94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73891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D0629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4C1E1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5F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B53E9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186A40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466FBE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1C3169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003AC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8C610E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17F84A">
      <w:pPr>
        <w:pStyle w:val="4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105C8A7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1、“招标技术要求”一栏应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7.1.2 技术参数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</w:t>
      </w:r>
      <w:r>
        <w:rPr>
          <w:rFonts w:hint="eastAsia" w:ascii="仿宋" w:hAnsi="仿宋" w:eastAsia="仿宋" w:cs="仿宋"/>
          <w:sz w:val="24"/>
        </w:rPr>
        <w:t>；</w:t>
      </w:r>
    </w:p>
    <w:p w14:paraId="7B0D17BE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2、“投标响应情况”一栏必须详细填写投标产品的具体参数，并应对照招标技术要求一一对应响应；</w:t>
      </w:r>
    </w:p>
    <w:p w14:paraId="408EC4B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1855CB8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4、投标人应完整响应招标技术要求，并逐条填写《技术响应与偏离表》，如有漏项或缺项，将被视为</w:t>
      </w:r>
      <w:r>
        <w:rPr>
          <w:rFonts w:hint="eastAsia" w:ascii="仿宋" w:hAnsi="仿宋" w:eastAsia="仿宋" w:cs="仿宋"/>
          <w:sz w:val="24"/>
          <w:lang w:val="en-US" w:eastAsia="zh-CN"/>
        </w:rPr>
        <w:t>负偏离按扣分处理</w:t>
      </w:r>
      <w:r>
        <w:rPr>
          <w:rFonts w:hint="eastAsia" w:ascii="仿宋" w:hAnsi="仿宋" w:eastAsia="仿宋" w:cs="仿宋"/>
          <w:sz w:val="24"/>
        </w:rPr>
        <w:t>。</w:t>
      </w:r>
    </w:p>
    <w:p w14:paraId="0842C9E8">
      <w:pPr>
        <w:pStyle w:val="4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00400690">
      <w:pPr>
        <w:pStyle w:val="4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</w:t>
      </w:r>
    </w:p>
    <w:p w14:paraId="482854DE">
      <w:pPr>
        <w:pStyle w:val="4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5469EF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E03AA9"/>
    <w:rsid w:val="2767068C"/>
    <w:rsid w:val="44B804EE"/>
    <w:rsid w:val="69180FCC"/>
    <w:rsid w:val="6A2E2A0D"/>
    <w:rsid w:val="7FC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194</Characters>
  <Lines>0</Lines>
  <Paragraphs>0</Paragraphs>
  <TotalTime>4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2025-04-28T08:22:08Z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