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版本号：HXZK2025ZC042400720250508001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陕西省高速公路交通出行信息服务评价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HXZK2025ZC0424007</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陕西省高速公路交通出行信息服务评价</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HXZK2025ZC0424007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陕西省高速公路交通出行信息服务评价</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优化公路交通公众出行服务体验，对陕西省高速公路交通出行信息服务水平进行评价，达到以评促建的效果，提升公众出行服务管理水平及服务质量。包括：调研全年陕西高速公路交通出行信息服务载体运营情况、设计高速公路交通出行信息服务载体评价指标体系、高速公路交通出行服务产品服务效果评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谈判全过程：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3、财务状况：提供 2023 年度或 2024 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9、非联合体响应：本采购包不接受联合体响应，供应商提供非联合体响应承诺书。供应商需在项目电子化交易系统中按要求上传相应证明文件并进行电子签章。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陕西省高速公路收费中心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华夏正康工程技术有限公司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为优化公路交通公众出行服务体验，对陕西省高速公路交通出行信息服务水平进行评价，达到以评促建的效果，提升公众出行服务管理水平及服务质量。项目预算</w:t>
      </w:r>
      <w:r>
        <w:rPr>
          <w:rFonts w:ascii="仿宋_GB2312" w:hAnsi="仿宋_GB2312" w:cs="仿宋_GB2312" w:eastAsia="仿宋_GB2312"/>
        </w:rPr>
        <w:t>20</w:t>
      </w:r>
      <w:r>
        <w:rPr>
          <w:rFonts w:ascii="仿宋_GB2312" w:hAnsi="仿宋_GB2312" w:cs="仿宋_GB2312" w:eastAsia="仿宋_GB2312"/>
        </w:rPr>
        <w:t>万元，包括：</w:t>
      </w:r>
    </w:p>
    <w:p>
      <w:pPr>
        <w:pStyle w:val="null3"/>
        <w:ind w:firstLine="480"/>
      </w:pPr>
      <w:r>
        <w:rPr>
          <w:rFonts w:ascii="仿宋_GB2312" w:hAnsi="仿宋_GB2312" w:cs="仿宋_GB2312" w:eastAsia="仿宋_GB2312"/>
        </w:rPr>
        <w:t>1.</w:t>
      </w:r>
      <w:r>
        <w:rPr>
          <w:rFonts w:ascii="仿宋_GB2312" w:hAnsi="仿宋_GB2312" w:cs="仿宋_GB2312" w:eastAsia="仿宋_GB2312"/>
        </w:rPr>
        <w:t>调研全年陕西高速公路交通出行信息服务载体运营情况，</w:t>
      </w:r>
      <w:r>
        <w:rPr>
          <w:rFonts w:ascii="仿宋_GB2312" w:hAnsi="仿宋_GB2312" w:cs="仿宋_GB2312" w:eastAsia="仿宋_GB2312"/>
        </w:rPr>
        <w:t>6</w:t>
      </w:r>
      <w:r>
        <w:rPr>
          <w:rFonts w:ascii="仿宋_GB2312" w:hAnsi="仿宋_GB2312" w:cs="仿宋_GB2312" w:eastAsia="仿宋_GB2312"/>
        </w:rPr>
        <w:t>万元。</w:t>
      </w:r>
    </w:p>
    <w:p>
      <w:pPr>
        <w:pStyle w:val="null3"/>
        <w:ind w:firstLine="480"/>
      </w:pPr>
      <w:r>
        <w:rPr>
          <w:rFonts w:ascii="仿宋_GB2312" w:hAnsi="仿宋_GB2312" w:cs="仿宋_GB2312" w:eastAsia="仿宋_GB2312"/>
        </w:rPr>
        <w:t>2.</w:t>
      </w:r>
      <w:r>
        <w:rPr>
          <w:rFonts w:ascii="仿宋_GB2312" w:hAnsi="仿宋_GB2312" w:cs="仿宋_GB2312" w:eastAsia="仿宋_GB2312"/>
        </w:rPr>
        <w:t>设计高速公路交通出行信息服务载体评价指标体系。结合调研结果，构建陕西高速公路交通出行服务评价指标体系，</w:t>
      </w:r>
      <w:r>
        <w:rPr>
          <w:rFonts w:ascii="仿宋_GB2312" w:hAnsi="仿宋_GB2312" w:cs="仿宋_GB2312" w:eastAsia="仿宋_GB2312"/>
        </w:rPr>
        <w:t>4</w:t>
      </w:r>
      <w:r>
        <w:rPr>
          <w:rFonts w:ascii="仿宋_GB2312" w:hAnsi="仿宋_GB2312" w:cs="仿宋_GB2312" w:eastAsia="仿宋_GB2312"/>
        </w:rPr>
        <w:t>万元。</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高速公路交通出行服务产品服务效果评价。根据方案 评价高速公路交通出行服务产品，形成评价报告，</w:t>
      </w:r>
      <w:r>
        <w:rPr>
          <w:rFonts w:ascii="仿宋_GB2312" w:hAnsi="仿宋_GB2312" w:cs="仿宋_GB2312" w:eastAsia="仿宋_GB2312"/>
          <w:sz w:val="21"/>
        </w:rPr>
        <w:t>10</w:t>
      </w:r>
      <w:r>
        <w:rPr>
          <w:rFonts w:ascii="仿宋_GB2312" w:hAnsi="仿宋_GB2312" w:cs="仿宋_GB2312" w:eastAsia="仿宋_GB2312"/>
          <w:sz w:val="21"/>
        </w:rPr>
        <w:t>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陕西省高速公路交通出行信息服务评价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标的名称：陕西省高速公路交通出行信息服务评价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rPr>
              <w:t>一、服务要求</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）梳理交通运输部及陕西省有关公路交通出行服务的制度、文件要求、标准规范、评价办法等，调研陕西以及至少</w:t>
            </w:r>
            <w:r>
              <w:rPr>
                <w:rFonts w:ascii="仿宋_GB2312" w:hAnsi="仿宋_GB2312" w:cs="仿宋_GB2312" w:eastAsia="仿宋_GB2312"/>
              </w:rPr>
              <w:t>5</w:t>
            </w:r>
            <w:r>
              <w:rPr>
                <w:rFonts w:ascii="仿宋_GB2312" w:hAnsi="仿宋_GB2312" w:cs="仿宋_GB2312" w:eastAsia="仿宋_GB2312"/>
              </w:rPr>
              <w:t>个外省公路交通出行服务的基本情况，为陕西省公路交通出行服务水平评价奠定基础。</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）分析陕西公路交通出行服务平台不少于</w:t>
            </w:r>
            <w:r>
              <w:rPr>
                <w:rFonts w:ascii="仿宋_GB2312" w:hAnsi="仿宋_GB2312" w:cs="仿宋_GB2312" w:eastAsia="仿宋_GB2312"/>
              </w:rPr>
              <w:t>12</w:t>
            </w:r>
            <w:r>
              <w:rPr>
                <w:rFonts w:ascii="仿宋_GB2312" w:hAnsi="仿宋_GB2312" w:cs="仿宋_GB2312" w:eastAsia="仿宋_GB2312"/>
              </w:rPr>
              <w:t>个月的运行和运营情况，平台包含微博、微信公众号、抖音号等，针对上述平台制定一套评价体系，应在合同签订后</w:t>
            </w:r>
            <w:r>
              <w:rPr>
                <w:rFonts w:ascii="仿宋_GB2312" w:hAnsi="仿宋_GB2312" w:cs="仿宋_GB2312" w:eastAsia="仿宋_GB2312"/>
              </w:rPr>
              <w:t>1</w:t>
            </w:r>
            <w:r>
              <w:rPr>
                <w:rFonts w:ascii="仿宋_GB2312" w:hAnsi="仿宋_GB2312" w:cs="仿宋_GB2312" w:eastAsia="仿宋_GB2312"/>
              </w:rPr>
              <w:t>个月之内提交。</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）利用评价体系对陕西公路交通出行服务进行评价，且与外省服务质量有横向对比，并提出对陕西公路交通出行服务的运营发展建议，形成出行服务评价报告</w:t>
            </w:r>
            <w:r>
              <w:rPr>
                <w:rFonts w:ascii="仿宋_GB2312" w:hAnsi="仿宋_GB2312" w:cs="仿宋_GB2312" w:eastAsia="仿宋_GB2312"/>
              </w:rPr>
              <w:t>1</w:t>
            </w:r>
            <w:r>
              <w:rPr>
                <w:rFonts w:ascii="仿宋_GB2312" w:hAnsi="仿宋_GB2312" w:cs="仿宋_GB2312" w:eastAsia="仿宋_GB2312"/>
              </w:rPr>
              <w:t>份，应在提交评价体系后的</w:t>
            </w:r>
            <w:r>
              <w:rPr>
                <w:rFonts w:ascii="仿宋_GB2312" w:hAnsi="仿宋_GB2312" w:cs="仿宋_GB2312" w:eastAsia="仿宋_GB2312"/>
              </w:rPr>
              <w:t>1</w:t>
            </w:r>
            <w:r>
              <w:rPr>
                <w:rFonts w:ascii="仿宋_GB2312" w:hAnsi="仿宋_GB2312" w:cs="仿宋_GB2312" w:eastAsia="仿宋_GB2312"/>
              </w:rPr>
              <w:t>个月内提交。</w:t>
            </w:r>
          </w:p>
          <w:p>
            <w:pPr>
              <w:pStyle w:val="null3"/>
            </w:pPr>
            <w:r>
              <w:rPr>
                <w:rFonts w:ascii="仿宋_GB2312" w:hAnsi="仿宋_GB2312" w:cs="仿宋_GB2312" w:eastAsia="仿宋_GB2312"/>
                <w:sz w:val="20"/>
                <w:b/>
              </w:rPr>
              <w:t xml:space="preserve"> </w:t>
            </w:r>
            <w:r>
              <w:rPr>
                <w:rFonts w:ascii="仿宋_GB2312" w:hAnsi="仿宋_GB2312" w:cs="仿宋_GB2312" w:eastAsia="仿宋_GB2312"/>
                <w:sz w:val="20"/>
              </w:rPr>
              <w:t xml:space="preserve">   二、工程量详单</w:t>
            </w:r>
          </w:p>
          <w:tbl>
            <w:tblPr>
              <w:tblInd w:type="dxa" w:w="105"/>
              <w:tblBorders>
                <w:top w:val="none" w:color="000000" w:sz="4"/>
                <w:left w:val="none" w:color="000000" w:sz="4"/>
                <w:bottom w:val="none" w:color="000000" w:sz="4"/>
                <w:right w:val="none" w:color="000000" w:sz="4"/>
                <w:insideH w:val="none"/>
                <w:insideV w:val="none"/>
              </w:tblBorders>
            </w:tblPr>
            <w:tblGrid>
              <w:gridCol w:w="397"/>
              <w:gridCol w:w="1427"/>
              <w:gridCol w:w="721"/>
            </w:tblGrid>
            <w:tr>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内容</w:t>
                  </w:r>
                </w:p>
              </w:tc>
              <w:tc>
                <w:tcPr>
                  <w:tcW w:type="dxa" w:w="14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要求</w:t>
                  </w:r>
                </w:p>
              </w:tc>
              <w:tc>
                <w:tcPr>
                  <w:tcW w:type="dxa" w:w="7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成果提交</w:t>
                  </w:r>
                </w:p>
              </w:tc>
            </w:tr>
            <w:tr>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评价体系</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通过海量数据筛选、特定算法以及舆 情监测分析等方式，客观评价陕西省高速公路信息服务水平，至少应包含各类别平台的评价指标、指标权重、评分标准等，各平台评价指标不少于</w:t>
                  </w:r>
                  <w:r>
                    <w:rPr>
                      <w:rFonts w:ascii="仿宋_GB2312" w:hAnsi="仿宋_GB2312" w:cs="仿宋_GB2312" w:eastAsia="仿宋_GB2312"/>
                      <w:sz w:val="18"/>
                    </w:rPr>
                    <w:t>15项。</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电子版文档及</w:t>
                  </w:r>
                  <w:r>
                    <w:rPr>
                      <w:rFonts w:ascii="仿宋_GB2312" w:hAnsi="仿宋_GB2312" w:cs="仿宋_GB2312" w:eastAsia="仿宋_GB2312"/>
                      <w:sz w:val="18"/>
                    </w:rPr>
                    <w:t>A4纸质盖章版10套</w:t>
                  </w:r>
                </w:p>
              </w:tc>
            </w:tr>
            <w:tr>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评价报告</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至少应包含指标设计与应用说明、指标说明及服务现状、经验与亮点、存在的问题、运营发展建议等五部分。</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电子版文档及</w:t>
                  </w:r>
                  <w:r>
                    <w:rPr>
                      <w:rFonts w:ascii="仿宋_GB2312" w:hAnsi="仿宋_GB2312" w:cs="仿宋_GB2312" w:eastAsia="仿宋_GB2312"/>
                      <w:sz w:val="18"/>
                    </w:rPr>
                    <w:t>A4纸质盖章版10套</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一、报价要求： （一）陕西省高速公路交通出行信息服务评价预算20万元，包括：1.调研全年陕西高速公路交通出行信息服务载体运营情况6万元；2.设计高速公路交通出行信息服务载体评价指标体系4万元；3.高速公路交通出行服务产品服务效果评价10万元。 （二）各供应商的谈判总报价不能超过采购包最高总限价为200,000.00元。各分项报价不能超过分项采购最高限价：1.调研全年陕西高速公路交通出行信息服务载体运营情况最高限价为60,000.00元；2.设计高速公路交通出行信息服务载体评价指标体系最高限价为40,000.00元；3.高速公路交通出行服务产品服务效果评价最高限价为100,000.00元。 二、保密要求 本项目实施过程中所收集、产生的所有与本项目相关文档、资料，包括文字、图片、表格、数字等各种形式所属权 均归属省中心，供应商必须对所涉及到的内容保密，应按照要求签署保密协议。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自合同签订之日3个月内，交付评价体系和评价报告初稿，并根据采购人意见进行完善至定稿。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服务方应严格按照服务时间提交评价体系、评价报告，经采购方审核并经专家评审验收通过。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合同签订且服务期开始后，供应商开具全额合同发票。提交评价体系电子版文档后支付30%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提交评价报告后支付40%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项目验收合格后支付剩余30%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 （16）本项目为非专门面向中小企业采购。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年度或 2024 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非联合体响应</w:t>
            </w:r>
          </w:p>
        </w:tc>
        <w:tc>
          <w:tcPr>
            <w:tcW w:type="dxa" w:w="3322"/>
          </w:tcPr>
          <w:p>
            <w:pPr>
              <w:pStyle w:val="null3"/>
            </w:pPr>
            <w:r>
              <w:rPr>
                <w:rFonts w:ascii="仿宋_GB2312" w:hAnsi="仿宋_GB2312" w:cs="仿宋_GB2312" w:eastAsia="仿宋_GB2312"/>
              </w:rPr>
              <w:t>本采购包不接受联合体响应，供应商提供非联合体响应承诺书。供应商需在项目电子化交易系统中按要求上传相应证明文件并进行电子签章。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响应文件有效期达到谈判文件的要求。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符合谈判文件中规定的技术、服务、商务要求。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符合谈判文件规定的其他实质性要求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