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版本号：0617-2514FZ077720250507001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2025年离退休教职工体检采购项目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0617-2514FZ0777</w:t>
      </w:r>
      <w:r>
        <w:br/>
      </w:r>
      <w:r>
        <w:br/>
      </w:r>
      <w:r>
        <w:br/>
      </w:r>
    </w:p>
    <w:p>
      <w:pPr>
        <w:pStyle w:val="null3"/>
        <w:jc w:val="center"/>
        <w:outlineLvl w:val="2"/>
      </w:pPr>
      <w:r>
        <w:rPr>
          <w:rFonts w:ascii="仿宋_GB2312" w:hAnsi="仿宋_GB2312" w:cs="仿宋_GB2312" w:eastAsia="仿宋_GB2312"/>
          <w:sz w:val="28"/>
          <w:b/>
        </w:rPr>
        <w:t>西安财经大学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西安财经大学</w:t>
      </w:r>
      <w:r>
        <w:rPr>
          <w:rFonts w:ascii="仿宋_GB2312" w:hAnsi="仿宋_GB2312" w:cs="仿宋_GB2312" w:eastAsia="仿宋_GB2312"/>
        </w:rPr>
        <w:t>委托，拟对</w:t>
      </w:r>
      <w:r>
        <w:rPr>
          <w:rFonts w:ascii="仿宋_GB2312" w:hAnsi="仿宋_GB2312" w:cs="仿宋_GB2312" w:eastAsia="仿宋_GB2312"/>
        </w:rPr>
        <w:t>2025年离退休教职工体检采购项目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0617-2514FZ0777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2025年离退休教职工体检采购项目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为全校离退休教职工进行体检。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信息查询：在磋商截止时间，供应商不得存在列入失信被执行人（“中国执行信息公开网”http://zxgk.court.gov.cn/shixin/）的情形、不得存在列入信用中国（www.creditchina.gov.cn）重大税收违法失信主体和政府采购严重违法失信行为记录名单的情形， 不得存在列入中国政府采购网（www.ccgp.gov.cn）政府采购严重违法失信行为记录名单的情形。</w:t>
      </w:r>
    </w:p>
    <w:p>
      <w:pPr>
        <w:pStyle w:val="null3"/>
      </w:pPr>
      <w:r>
        <w:rPr>
          <w:rFonts w:ascii="仿宋_GB2312" w:hAnsi="仿宋_GB2312" w:cs="仿宋_GB2312" w:eastAsia="仿宋_GB2312"/>
        </w:rPr>
        <w:t>2、许可证：供应商具有卫生行政部门核准登记取得的《医疗机构执业许可证》和《放射诊疗许可证》。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西安财经大学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西安市长安区常宁大街360号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段富奇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83695581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靖悦、侯润泽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029-85361252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代理服务费收费标准：在国家发改委《招标代理服务收费暂行办法》(计价格[2002]1980号)文件规定标准的基础上，下浮48%计取(包括货物、服务和工程三类)，采购代理服务收费按差额定率累进法计算。 收款账号如下： 开户名称：西北（陕西）国际招标有限公司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西安财经大学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西安财经大学</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西安财经大学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为全校离退休教职工进行体检。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882,000.00</w:t>
      </w:r>
    </w:p>
    <w:p>
      <w:pPr>
        <w:pStyle w:val="null3"/>
      </w:pPr>
      <w:r>
        <w:rPr>
          <w:rFonts w:ascii="仿宋_GB2312" w:hAnsi="仿宋_GB2312" w:cs="仿宋_GB2312" w:eastAsia="仿宋_GB2312"/>
        </w:rPr>
        <w:t>采购包最高限价（元）: 882,000.00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离退休教职工体检</w:t>
            </w:r>
          </w:p>
        </w:tc>
        <w:tc>
          <w:tcPr>
            <w:tcW w:type="dxa" w:w="831"/>
          </w:tcPr>
          <w:p>
            <w:pPr>
              <w:pStyle w:val="null3"/>
              <w:jc w:val="right"/>
            </w:pPr>
            <w:r>
              <w:rPr>
                <w:rFonts w:ascii="仿宋_GB2312" w:hAnsi="仿宋_GB2312" w:cs="仿宋_GB2312" w:eastAsia="仿宋_GB2312"/>
              </w:rPr>
              <w:t>882.00</w:t>
            </w:r>
          </w:p>
        </w:tc>
        <w:tc>
          <w:tcPr>
            <w:tcW w:type="dxa" w:w="831"/>
          </w:tcPr>
          <w:p>
            <w:pPr>
              <w:pStyle w:val="null3"/>
              <w:jc w:val="right"/>
            </w:pPr>
            <w:r>
              <w:rPr>
                <w:rFonts w:ascii="仿宋_GB2312" w:hAnsi="仿宋_GB2312" w:cs="仿宋_GB2312" w:eastAsia="仿宋_GB2312"/>
              </w:rPr>
              <w:t>882,000.00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标的名称：离退休教职工体检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具体体检项目和主要服务内容要求如下</w:t>
            </w:r>
            <w:r>
              <w:rPr>
                <w:rFonts w:ascii="仿宋_GB2312" w:hAnsi="仿宋_GB2312" w:cs="仿宋_GB2312" w:eastAsia="仿宋_GB2312"/>
                <w:sz w:val="21"/>
              </w:rPr>
              <w:t>（</w:t>
            </w:r>
            <w:r>
              <w:rPr>
                <w:rFonts w:ascii="仿宋_GB2312" w:hAnsi="仿宋_GB2312" w:cs="仿宋_GB2312" w:eastAsia="仿宋_GB2312"/>
                <w:sz w:val="21"/>
              </w:rPr>
              <w:t>包含但不限于以下内容</w:t>
            </w:r>
            <w:r>
              <w:rPr>
                <w:rFonts w:ascii="仿宋_GB2312" w:hAnsi="仿宋_GB2312" w:cs="仿宋_GB2312" w:eastAsia="仿宋_GB2312"/>
                <w:sz w:val="21"/>
              </w:rPr>
              <w:t>）：</w:t>
            </w:r>
          </w:p>
          <w:tbl>
            <w:tblPr>
              <w:tblInd w:type="dxa" w:w="90"/>
              <w:tblBorders>
                <w:top w:val="none" w:color="000000" w:sz="4"/>
                <w:left w:val="none" w:color="000000" w:sz="4"/>
                <w:bottom w:val="none" w:color="000000" w:sz="4"/>
                <w:right w:val="none" w:color="000000" w:sz="4"/>
                <w:insideH w:val="none"/>
                <w:insideV w:val="none"/>
              </w:tblBorders>
            </w:tblPr>
            <w:tblGrid>
              <w:gridCol w:w="414"/>
              <w:gridCol w:w="560"/>
              <w:gridCol w:w="1569"/>
            </w:tblGrid>
            <w:tr>
              <w:tc>
                <w:tcPr>
                  <w:tcW w:type="dxa" w:w="4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r>
                    <w:rPr>
                      <w:rFonts w:ascii="仿宋_GB2312" w:hAnsi="仿宋_GB2312" w:cs="仿宋_GB2312" w:eastAsia="仿宋_GB2312"/>
                      <w:sz w:val="21"/>
                    </w:rPr>
                    <w:t xml:space="preserve">      </w:t>
                  </w:r>
                  <w:r>
                    <w:rPr>
                      <w:rFonts w:ascii="仿宋_GB2312" w:hAnsi="仿宋_GB2312" w:cs="仿宋_GB2312" w:eastAsia="仿宋_GB2312"/>
                      <w:sz w:val="21"/>
                    </w:rPr>
                    <w:t>目</w:t>
                  </w:r>
                </w:p>
              </w:tc>
              <w:tc>
                <w:tcPr>
                  <w:tcW w:type="dxa" w:w="2129"/>
                  <w:gridSpan w:val="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检查内容及临床意义</w:t>
                  </w:r>
                </w:p>
              </w:tc>
            </w:tr>
            <w:tr>
              <w:tc>
                <w:tcPr>
                  <w:tcW w:type="dxa" w:w="414"/>
                  <w:vMerge/>
                  <w:tcBorders>
                    <w:top w:val="single" w:color="000000" w:sz="4"/>
                    <w:left w:val="single" w:color="000000" w:sz="4"/>
                    <w:bottom w:val="single" w:color="000000" w:sz="4"/>
                    <w:right w:val="single" w:color="000000" w:sz="4"/>
                  </w:tcBorders>
                </w:tcPr>
                <w:p/>
              </w:tc>
            </w:tr>
            <w:tr>
              <w:tc>
                <w:tcPr>
                  <w:tcW w:type="dxa" w:w="41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一般检查及专科项目</w:t>
                  </w:r>
                </w:p>
              </w:tc>
              <w:tc>
                <w:tcPr>
                  <w:tcW w:type="dxa" w:w="2129"/>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一般检查</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体重、身高、血压有无异常。（超重、肥胖、高、低血压</w:t>
                  </w:r>
                  <w:r>
                    <w:rPr>
                      <w:rFonts w:ascii="仿宋_GB2312" w:hAnsi="仿宋_GB2312" w:cs="仿宋_GB2312" w:eastAsia="仿宋_GB2312"/>
                      <w:sz w:val="21"/>
                    </w:rPr>
                    <w:t>),</w:t>
                  </w:r>
                  <w:r>
                    <w:rPr>
                      <w:rFonts w:ascii="仿宋_GB2312" w:hAnsi="仿宋_GB2312" w:cs="仿宋_GB2312" w:eastAsia="仿宋_GB2312"/>
                      <w:sz w:val="21"/>
                    </w:rPr>
                    <w:t>了解营养状况等。</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内科</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心脏听诊：心律、心率、心脏杂音、双肺听诊：有无异常呼吸音，腹部触诊：有无肝脾肿大等</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外科</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甲状腺、淋巴结、体表包块、四肢关节等</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耳鼻喉科检查</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鼻、咽、喉、外耳部位的病变</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口腔科检查</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牙齿、牙龈的情况（有无龋齿、缺齿、牙周炎等）</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眼科检查</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视力、色觉</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眼底检查</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眼底血管、（有无糖尿病、动脉硬化眼底改变）视乳头、黄斑部病变</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裂隙灯检查</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玻璃体、晶状体（有无白内障）、结膜、角膜炎等</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眼压检查</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通过眼压仪对眼压的测定，了解是否有青光眼及高眼压症</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骨密度检测</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有无骨量减少、骨质疏松</w:t>
                  </w:r>
                </w:p>
              </w:tc>
            </w:tr>
            <w:tr>
              <w:tc>
                <w:tcPr>
                  <w:tcW w:type="dxa" w:w="41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心电图及超声检查</w:t>
                  </w:r>
                </w:p>
              </w:tc>
              <w:tc>
                <w:tcPr>
                  <w:tcW w:type="dxa" w:w="2129"/>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心电图（</w:t>
                  </w:r>
                  <w:r>
                    <w:rPr>
                      <w:rFonts w:ascii="仿宋_GB2312" w:hAnsi="仿宋_GB2312" w:cs="仿宋_GB2312" w:eastAsia="仿宋_GB2312"/>
                      <w:sz w:val="21"/>
                    </w:rPr>
                    <w:t>12</w:t>
                  </w:r>
                  <w:r>
                    <w:rPr>
                      <w:rFonts w:ascii="仿宋_GB2312" w:hAnsi="仿宋_GB2312" w:cs="仿宋_GB2312" w:eastAsia="仿宋_GB2312"/>
                      <w:sz w:val="21"/>
                    </w:rPr>
                    <w:t>导）</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有无心肌缺血、心律失常等、心肌肥大、心梗、心肌炎、传导阻滞等。</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腹部彩超</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检查肝、胆、脾、胰、双肾（有无脂肪肝、肝肾肿瘤、肝内胆管结石、胆石症、胆囊炎、胆囊息肉、脾肿大等）</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盆腔彩超（男）</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男：前列腺、膀胱。</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盆腔彩超（女）</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女：子宫、附件（卵巢）。</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甲状腺彩超</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有无甲状腺结节、甲状腺囊肿、甲状腺肿瘤等。</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颈动脉彩超（双侧）</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检查颈动脉内膜病变，有无动脉粥样斑块</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数字化肝脏彩超</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快速无创，用数字来分析脂肪肝和纤维化的程度，能够协助临床及早发现肝纤维化早、中期患者</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经颅多普勒（</w:t>
                  </w:r>
                  <w:r>
                    <w:rPr>
                      <w:rFonts w:ascii="仿宋_GB2312" w:hAnsi="仿宋_GB2312" w:cs="仿宋_GB2312" w:eastAsia="仿宋_GB2312"/>
                      <w:sz w:val="21"/>
                    </w:rPr>
                    <w:t>TCD</w:t>
                  </w:r>
                  <w:r>
                    <w:rPr>
                      <w:rFonts w:ascii="仿宋_GB2312" w:hAnsi="仿宋_GB2312" w:cs="仿宋_GB2312" w:eastAsia="仿宋_GB2312"/>
                      <w:sz w:val="21"/>
                    </w:rPr>
                    <w:t>）</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检查颅内血管功能，有无脑动脉硬化、脑血管痉挛脑供血不足等情况</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动脉硬化检测</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检测外周血管疾病及有无下肢动脉血管阻塞性疾病</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超声图文</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1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X</w:t>
                  </w:r>
                  <w:r>
                    <w:rPr>
                      <w:rFonts w:ascii="仿宋_GB2312" w:hAnsi="仿宋_GB2312" w:cs="仿宋_GB2312" w:eastAsia="仿宋_GB2312"/>
                      <w:sz w:val="21"/>
                    </w:rPr>
                    <w:t>光检查</w:t>
                  </w:r>
                </w:p>
              </w:tc>
              <w:tc>
                <w:tcPr>
                  <w:tcW w:type="dxa" w:w="2129"/>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胸部低剂量螺旋</w:t>
                  </w:r>
                  <w:r>
                    <w:rPr>
                      <w:rFonts w:ascii="仿宋_GB2312" w:hAnsi="仿宋_GB2312" w:cs="仿宋_GB2312" w:eastAsia="仿宋_GB2312"/>
                      <w:sz w:val="21"/>
                    </w:rPr>
                    <w:t>CT</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检查肺、气管、支气管、纵膈、胸膜、胸壁等部位的炎症，扩张、狭窄、阻塞、肥厚、淋巴结肿大、占位性病变等。</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头颅</w:t>
                  </w:r>
                  <w:r>
                    <w:rPr>
                      <w:rFonts w:ascii="仿宋_GB2312" w:hAnsi="仿宋_GB2312" w:cs="仿宋_GB2312" w:eastAsia="仿宋_GB2312"/>
                      <w:sz w:val="21"/>
                    </w:rPr>
                    <w:t>CT</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了解大脑基本情况，对各种原因所致的脑出血、脑损伤、肿瘤、脓肿、梗塞、积水、萎缩、肉芽肿等</w:t>
                  </w:r>
                </w:p>
              </w:tc>
            </w:tr>
            <w:tr>
              <w:tc>
                <w:tcPr>
                  <w:tcW w:type="dxa" w:w="41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妇科检查</w:t>
                  </w:r>
                </w:p>
              </w:tc>
              <w:tc>
                <w:tcPr>
                  <w:tcW w:type="dxa" w:w="2129"/>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妇科检查</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阴道、子宫、宫颈。（有无阴道炎、宫颈炎、宫颈糜烂、盆腔炎、卵巢肿瘤）等。</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液基薄层（</w:t>
                  </w:r>
                  <w:r>
                    <w:rPr>
                      <w:rFonts w:ascii="仿宋_GB2312" w:hAnsi="仿宋_GB2312" w:cs="仿宋_GB2312" w:eastAsia="仿宋_GB2312"/>
                      <w:sz w:val="21"/>
                    </w:rPr>
                    <w:t>TCT</w:t>
                  </w:r>
                  <w:r>
                    <w:rPr>
                      <w:rFonts w:ascii="仿宋_GB2312" w:hAnsi="仿宋_GB2312" w:cs="仿宋_GB2312" w:eastAsia="仿宋_GB2312"/>
                      <w:sz w:val="21"/>
                    </w:rPr>
                    <w:t>）</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为宫颈脱落细胞检查方法，作为筛查早期宫颈癌的重要项目，敏感度高特异性强</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白带常规</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白带有无霉菌、滴虫感染、阴道炎等。</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双乳腺彩超</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有无乳腺增生、乳腺肿瘤等。</w:t>
                  </w:r>
                </w:p>
              </w:tc>
            </w:tr>
            <w:tr>
              <w:tc>
                <w:tcPr>
                  <w:tcW w:type="dxa" w:w="41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实验室检查</w:t>
                  </w:r>
                </w:p>
              </w:tc>
              <w:tc>
                <w:tcPr>
                  <w:tcW w:type="dxa" w:w="2129"/>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采血耗材费</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血常规（五分类）</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通过血液分析可提示小细胞性贫血、巨幼细胞贫血、再生障碍性贫血、各种类型白血病、粒细胞减少、淋巴细胞减少、血小板减少及感染等。</w:t>
                  </w:r>
                </w:p>
              </w:tc>
            </w:tr>
            <w:tr>
              <w:tc>
                <w:tcPr>
                  <w:tcW w:type="dxa" w:w="4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尿液分析</w:t>
                  </w:r>
                  <w:r>
                    <w:rPr>
                      <w:rFonts w:ascii="仿宋_GB2312" w:hAnsi="仿宋_GB2312" w:cs="仿宋_GB2312" w:eastAsia="仿宋_GB2312"/>
                      <w:sz w:val="21"/>
                    </w:rPr>
                    <w:t>11</w:t>
                  </w:r>
                  <w:r>
                    <w:rPr>
                      <w:rFonts w:ascii="仿宋_GB2312" w:hAnsi="仿宋_GB2312" w:cs="仿宋_GB2312" w:eastAsia="仿宋_GB2312"/>
                      <w:sz w:val="21"/>
                    </w:rPr>
                    <w:t>项</w:t>
                  </w:r>
                  <w:r>
                    <w:rPr>
                      <w:rFonts w:ascii="仿宋_GB2312" w:hAnsi="仿宋_GB2312" w:cs="仿宋_GB2312" w:eastAsia="仿宋_GB2312"/>
                      <w:sz w:val="21"/>
                    </w:rPr>
                    <w:t>+</w:t>
                  </w:r>
                  <w:r>
                    <w:rPr>
                      <w:rFonts w:ascii="仿宋_GB2312" w:hAnsi="仿宋_GB2312" w:cs="仿宋_GB2312" w:eastAsia="仿宋_GB2312"/>
                      <w:sz w:val="21"/>
                    </w:rPr>
                    <w:t>镜检</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检查有无泌尿系感染、急、慢性肾炎等。</w:t>
                  </w: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、白细胞</w:t>
                  </w:r>
                </w:p>
              </w:tc>
              <w:tc>
                <w:tcPr>
                  <w:tcW w:type="dxa" w:w="15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尿检主要应用于肾脏疾病的诊断、治疗观察、预后判断。尿糖检查协助糖尿病筛查，不是诊断标准。尿潜血异常有助于血管内溶血的疾病的诊断。尿镜检：弥补尿液理化检查的不足，了解泌尿系统各部位的变化，可协助泌尿系统疾病的定位诊断。</w:t>
                  </w: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、亚硝酸盐</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、尿胆素原</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、尿蛋白</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PH</w:t>
                  </w:r>
                  <w:r>
                    <w:rPr>
                      <w:rFonts w:ascii="仿宋_GB2312" w:hAnsi="仿宋_GB2312" w:cs="仿宋_GB2312" w:eastAsia="仿宋_GB2312"/>
                      <w:sz w:val="21"/>
                    </w:rPr>
                    <w:t>值</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、红细胞定性（隐血）</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、尿比重</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、维生素</w:t>
                  </w:r>
                  <w:r>
                    <w:rPr>
                      <w:rFonts w:ascii="仿宋_GB2312" w:hAnsi="仿宋_GB2312" w:cs="仿宋_GB2312" w:eastAsia="仿宋_GB2312"/>
                      <w:sz w:val="21"/>
                    </w:rPr>
                    <w:t>C</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、酮体</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、胆红素</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、葡萄糖</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、镜检</w:t>
                  </w:r>
                </w:p>
              </w:tc>
              <w:tc>
                <w:tcPr>
                  <w:tcW w:type="dxa" w:w="1569"/>
                  <w:vMerge/>
                  <w:tcBorders>
                    <w:top w:val="single" w:color="000000" w:sz="4"/>
                    <w:left w:val="none" w:color="000000" w:sz="4"/>
                    <w:bottom w:val="single" w:color="000000" w:sz="4"/>
                    <w:right w:val="single" w:color="000000" w:sz="4"/>
                  </w:tcBorders>
                </w:tcPr>
                <w:p/>
              </w:tc>
            </w:tr>
            <w:tr>
              <w:tc>
                <w:tcPr>
                  <w:tcW w:type="dxa" w:w="4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肝功十项</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了解肝功能改变情况及胆红素代谢情况，诊断肝炎、肝硬化的生化指标</w:t>
                  </w:r>
                </w:p>
              </w:tc>
            </w:tr>
            <w:tr>
              <w:tc>
                <w:tcPr>
                  <w:tcW w:type="dxa" w:w="414"/>
                  <w:vMerge/>
                  <w:tcBorders>
                    <w:top w:val="none" w:color="000000" w:sz="4"/>
                    <w:left w:val="single" w:color="000000" w:sz="4"/>
                    <w:bottom w:val="single" w:color="000000" w:sz="4"/>
                    <w:right w:val="single" w:color="000000" w:sz="4"/>
                  </w:tcBorders>
                </w:tcP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、谷丙转氨酶（</w:t>
                  </w:r>
                  <w:r>
                    <w:rPr>
                      <w:rFonts w:ascii="仿宋_GB2312" w:hAnsi="仿宋_GB2312" w:cs="仿宋_GB2312" w:eastAsia="仿宋_GB2312"/>
                      <w:sz w:val="21"/>
                    </w:rPr>
                    <w:t>GPT</w:t>
                  </w:r>
                  <w:r>
                    <w:rPr>
                      <w:rFonts w:ascii="仿宋_GB2312" w:hAnsi="仿宋_GB2312" w:cs="仿宋_GB2312" w:eastAsia="仿宋_GB2312"/>
                      <w:sz w:val="21"/>
                    </w:rPr>
                    <w:t>或</w:t>
                  </w:r>
                  <w:r>
                    <w:rPr>
                      <w:rFonts w:ascii="仿宋_GB2312" w:hAnsi="仿宋_GB2312" w:cs="仿宋_GB2312" w:eastAsia="仿宋_GB2312"/>
                      <w:sz w:val="21"/>
                    </w:rPr>
                    <w:t>ALT</w:t>
                  </w:r>
                  <w:r>
                    <w:rPr>
                      <w:rFonts w:ascii="仿宋_GB2312" w:hAnsi="仿宋_GB2312" w:cs="仿宋_GB2312" w:eastAsia="仿宋_GB2312"/>
                      <w:sz w:val="21"/>
                    </w:rPr>
                    <w:t>）</w:t>
                  </w:r>
                </w:p>
              </w:tc>
            </w:tr>
            <w:tr>
              <w:tc>
                <w:tcPr>
                  <w:tcW w:type="dxa" w:w="414"/>
                  <w:vMerge/>
                  <w:tcBorders>
                    <w:top w:val="none" w:color="000000" w:sz="4"/>
                    <w:left w:val="single" w:color="000000" w:sz="4"/>
                    <w:bottom w:val="single" w:color="000000" w:sz="4"/>
                    <w:right w:val="single" w:color="000000" w:sz="4"/>
                  </w:tcBorders>
                </w:tcP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、天门冬氨酸氨基转移酶（</w:t>
                  </w:r>
                  <w:r>
                    <w:rPr>
                      <w:rFonts w:ascii="仿宋_GB2312" w:hAnsi="仿宋_GB2312" w:cs="仿宋_GB2312" w:eastAsia="仿宋_GB2312"/>
                      <w:sz w:val="21"/>
                    </w:rPr>
                    <w:t>AST</w:t>
                  </w:r>
                  <w:r>
                    <w:rPr>
                      <w:rFonts w:ascii="仿宋_GB2312" w:hAnsi="仿宋_GB2312" w:cs="仿宋_GB2312" w:eastAsia="仿宋_GB2312"/>
                      <w:sz w:val="21"/>
                    </w:rPr>
                    <w:t>）</w:t>
                  </w:r>
                </w:p>
              </w:tc>
            </w:tr>
            <w:tr>
              <w:tc>
                <w:tcPr>
                  <w:tcW w:type="dxa" w:w="414"/>
                  <w:vMerge/>
                  <w:tcBorders>
                    <w:top w:val="none" w:color="000000" w:sz="4"/>
                    <w:left w:val="single" w:color="000000" w:sz="4"/>
                    <w:bottom w:val="single" w:color="000000" w:sz="4"/>
                    <w:right w:val="single" w:color="000000" w:sz="4"/>
                  </w:tcBorders>
                </w:tcP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、血清总蛋白（</w:t>
                  </w:r>
                  <w:r>
                    <w:rPr>
                      <w:rFonts w:ascii="仿宋_GB2312" w:hAnsi="仿宋_GB2312" w:cs="仿宋_GB2312" w:eastAsia="仿宋_GB2312"/>
                      <w:sz w:val="21"/>
                    </w:rPr>
                    <w:t>TP</w:t>
                  </w:r>
                  <w:r>
                    <w:rPr>
                      <w:rFonts w:ascii="仿宋_GB2312" w:hAnsi="仿宋_GB2312" w:cs="仿宋_GB2312" w:eastAsia="仿宋_GB2312"/>
                      <w:sz w:val="21"/>
                    </w:rPr>
                    <w:t>）</w:t>
                  </w:r>
                </w:p>
              </w:tc>
            </w:tr>
            <w:tr>
              <w:tc>
                <w:tcPr>
                  <w:tcW w:type="dxa" w:w="414"/>
                  <w:vMerge/>
                  <w:tcBorders>
                    <w:top w:val="none" w:color="000000" w:sz="4"/>
                    <w:left w:val="single" w:color="000000" w:sz="4"/>
                    <w:bottom w:val="single" w:color="000000" w:sz="4"/>
                    <w:right w:val="single" w:color="000000" w:sz="4"/>
                  </w:tcBorders>
                </w:tcP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、血清白蛋白（</w:t>
                  </w:r>
                  <w:r>
                    <w:rPr>
                      <w:rFonts w:ascii="仿宋_GB2312" w:hAnsi="仿宋_GB2312" w:cs="仿宋_GB2312" w:eastAsia="仿宋_GB2312"/>
                      <w:sz w:val="21"/>
                    </w:rPr>
                    <w:t>ALB</w:t>
                  </w:r>
                  <w:r>
                    <w:rPr>
                      <w:rFonts w:ascii="仿宋_GB2312" w:hAnsi="仿宋_GB2312" w:cs="仿宋_GB2312" w:eastAsia="仿宋_GB2312"/>
                      <w:sz w:val="21"/>
                    </w:rPr>
                    <w:t>）</w:t>
                  </w:r>
                </w:p>
              </w:tc>
            </w:tr>
            <w:tr>
              <w:tc>
                <w:tcPr>
                  <w:tcW w:type="dxa" w:w="414"/>
                  <w:vMerge/>
                  <w:tcBorders>
                    <w:top w:val="none" w:color="000000" w:sz="4"/>
                    <w:left w:val="single" w:color="000000" w:sz="4"/>
                    <w:bottom w:val="single" w:color="000000" w:sz="4"/>
                    <w:right w:val="single" w:color="000000" w:sz="4"/>
                  </w:tcBorders>
                </w:tcP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、血清球蛋白（</w:t>
                  </w:r>
                  <w:r>
                    <w:rPr>
                      <w:rFonts w:ascii="仿宋_GB2312" w:hAnsi="仿宋_GB2312" w:cs="仿宋_GB2312" w:eastAsia="仿宋_GB2312"/>
                      <w:sz w:val="21"/>
                    </w:rPr>
                    <w:t>GLD</w:t>
                  </w:r>
                  <w:r>
                    <w:rPr>
                      <w:rFonts w:ascii="仿宋_GB2312" w:hAnsi="仿宋_GB2312" w:cs="仿宋_GB2312" w:eastAsia="仿宋_GB2312"/>
                      <w:sz w:val="21"/>
                    </w:rPr>
                    <w:t>）</w:t>
                  </w:r>
                </w:p>
              </w:tc>
            </w:tr>
            <w:tr>
              <w:tc>
                <w:tcPr>
                  <w:tcW w:type="dxa" w:w="414"/>
                  <w:vMerge/>
                  <w:tcBorders>
                    <w:top w:val="none" w:color="000000" w:sz="4"/>
                    <w:left w:val="single" w:color="000000" w:sz="4"/>
                    <w:bottom w:val="single" w:color="000000" w:sz="4"/>
                    <w:right w:val="single" w:color="000000" w:sz="4"/>
                  </w:tcBorders>
                </w:tcP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、白</w:t>
                  </w:r>
                  <w:r>
                    <w:rPr>
                      <w:rFonts w:ascii="仿宋_GB2312" w:hAnsi="仿宋_GB2312" w:cs="仿宋_GB2312" w:eastAsia="仿宋_GB2312"/>
                      <w:sz w:val="21"/>
                    </w:rPr>
                    <w:t>/</w:t>
                  </w:r>
                  <w:r>
                    <w:rPr>
                      <w:rFonts w:ascii="仿宋_GB2312" w:hAnsi="仿宋_GB2312" w:cs="仿宋_GB2312" w:eastAsia="仿宋_GB2312"/>
                      <w:sz w:val="21"/>
                    </w:rPr>
                    <w:t xml:space="preserve">球蛋白比值 </w:t>
                  </w:r>
                  <w:r>
                    <w:rPr>
                      <w:rFonts w:ascii="仿宋_GB2312" w:hAnsi="仿宋_GB2312" w:cs="仿宋_GB2312" w:eastAsia="仿宋_GB2312"/>
                      <w:sz w:val="21"/>
                    </w:rPr>
                    <w:t>(A/G)</w:t>
                  </w:r>
                </w:p>
              </w:tc>
            </w:tr>
            <w:tr>
              <w:tc>
                <w:tcPr>
                  <w:tcW w:type="dxa" w:w="414"/>
                  <w:vMerge/>
                  <w:tcBorders>
                    <w:top w:val="none" w:color="000000" w:sz="4"/>
                    <w:left w:val="single" w:color="000000" w:sz="4"/>
                    <w:bottom w:val="single" w:color="000000" w:sz="4"/>
                    <w:right w:val="single" w:color="000000" w:sz="4"/>
                  </w:tcBorders>
                </w:tcP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、总胆红素（</w:t>
                  </w:r>
                  <w:r>
                    <w:rPr>
                      <w:rFonts w:ascii="仿宋_GB2312" w:hAnsi="仿宋_GB2312" w:cs="仿宋_GB2312" w:eastAsia="仿宋_GB2312"/>
                      <w:sz w:val="21"/>
                    </w:rPr>
                    <w:t>T-BIL</w:t>
                  </w:r>
                  <w:r>
                    <w:rPr>
                      <w:rFonts w:ascii="仿宋_GB2312" w:hAnsi="仿宋_GB2312" w:cs="仿宋_GB2312" w:eastAsia="仿宋_GB2312"/>
                      <w:sz w:val="21"/>
                    </w:rPr>
                    <w:t>）</w:t>
                  </w:r>
                </w:p>
              </w:tc>
            </w:tr>
            <w:tr>
              <w:tc>
                <w:tcPr>
                  <w:tcW w:type="dxa" w:w="414"/>
                  <w:vMerge/>
                  <w:tcBorders>
                    <w:top w:val="none" w:color="000000" w:sz="4"/>
                    <w:left w:val="single" w:color="000000" w:sz="4"/>
                    <w:bottom w:val="single" w:color="000000" w:sz="4"/>
                    <w:right w:val="single" w:color="000000" w:sz="4"/>
                  </w:tcBorders>
                </w:tcP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ALT\AST</w:t>
                  </w:r>
                  <w:r>
                    <w:rPr>
                      <w:rFonts w:ascii="仿宋_GB2312" w:hAnsi="仿宋_GB2312" w:cs="仿宋_GB2312" w:eastAsia="仿宋_GB2312"/>
                      <w:sz w:val="21"/>
                    </w:rPr>
                    <w:t>（对比值）</w:t>
                  </w:r>
                </w:p>
              </w:tc>
            </w:tr>
            <w:tr>
              <w:tc>
                <w:tcPr>
                  <w:tcW w:type="dxa" w:w="414"/>
                  <w:vMerge/>
                  <w:tcBorders>
                    <w:top w:val="none" w:color="000000" w:sz="4"/>
                    <w:left w:val="single" w:color="000000" w:sz="4"/>
                    <w:bottom w:val="single" w:color="000000" w:sz="4"/>
                    <w:right w:val="single" w:color="000000" w:sz="4"/>
                  </w:tcBorders>
                </w:tcP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、碱性磷酸酶</w:t>
                  </w:r>
                  <w:r>
                    <w:rPr>
                      <w:rFonts w:ascii="仿宋_GB2312" w:hAnsi="仿宋_GB2312" w:cs="仿宋_GB2312" w:eastAsia="仿宋_GB2312"/>
                      <w:sz w:val="21"/>
                    </w:rPr>
                    <w:t>(ALP)</w:t>
                  </w:r>
                </w:p>
              </w:tc>
            </w:tr>
            <w:tr>
              <w:tc>
                <w:tcPr>
                  <w:tcW w:type="dxa" w:w="414"/>
                  <w:vMerge/>
                  <w:tcBorders>
                    <w:top w:val="none" w:color="000000" w:sz="4"/>
                    <w:left w:val="single" w:color="000000" w:sz="4"/>
                    <w:bottom w:val="single" w:color="000000" w:sz="4"/>
                    <w:right w:val="single" w:color="000000" w:sz="4"/>
                  </w:tcBorders>
                </w:tcP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r-</w:t>
                  </w:r>
                  <w:r>
                    <w:rPr>
                      <w:rFonts w:ascii="仿宋_GB2312" w:hAnsi="仿宋_GB2312" w:cs="仿宋_GB2312" w:eastAsia="仿宋_GB2312"/>
                      <w:sz w:val="21"/>
                    </w:rPr>
                    <w:t>谷氨酰基转移酶（</w:t>
                  </w:r>
                  <w:r>
                    <w:rPr>
                      <w:rFonts w:ascii="仿宋_GB2312" w:hAnsi="仿宋_GB2312" w:cs="仿宋_GB2312" w:eastAsia="仿宋_GB2312"/>
                      <w:sz w:val="21"/>
                    </w:rPr>
                    <w:t>GGT</w:t>
                  </w:r>
                  <w:r>
                    <w:rPr>
                      <w:rFonts w:ascii="仿宋_GB2312" w:hAnsi="仿宋_GB2312" w:cs="仿宋_GB2312" w:eastAsia="仿宋_GB2312"/>
                      <w:sz w:val="21"/>
                    </w:rPr>
                    <w:t>）</w:t>
                  </w:r>
                </w:p>
              </w:tc>
            </w:tr>
            <w:tr>
              <w:tc>
                <w:tcPr>
                  <w:tcW w:type="dxa" w:w="4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肾功三项</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了解肾功能情况，有助于急、慢性肾病的诊断。早期发现及诊断痛风生化指标</w:t>
                  </w:r>
                </w:p>
              </w:tc>
            </w:tr>
            <w:tr>
              <w:tc>
                <w:tcPr>
                  <w:tcW w:type="dxa" w:w="414"/>
                  <w:vMerge/>
                  <w:tcBorders>
                    <w:top w:val="none" w:color="000000" w:sz="4"/>
                    <w:left w:val="single" w:color="000000" w:sz="4"/>
                    <w:bottom w:val="single" w:color="000000" w:sz="4"/>
                    <w:right w:val="single" w:color="000000" w:sz="4"/>
                  </w:tcBorders>
                </w:tcP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、肌酐</w:t>
                  </w:r>
                </w:p>
              </w:tc>
            </w:tr>
            <w:tr>
              <w:tc>
                <w:tcPr>
                  <w:tcW w:type="dxa" w:w="414"/>
                  <w:vMerge/>
                  <w:tcBorders>
                    <w:top w:val="none" w:color="000000" w:sz="4"/>
                    <w:left w:val="single" w:color="000000" w:sz="4"/>
                    <w:bottom w:val="single" w:color="000000" w:sz="4"/>
                    <w:right w:val="single" w:color="000000" w:sz="4"/>
                  </w:tcBorders>
                </w:tcP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、尿素</w:t>
                  </w:r>
                </w:p>
              </w:tc>
            </w:tr>
            <w:tr>
              <w:tc>
                <w:tcPr>
                  <w:tcW w:type="dxa" w:w="414"/>
                  <w:vMerge/>
                  <w:tcBorders>
                    <w:top w:val="none" w:color="000000" w:sz="4"/>
                    <w:left w:val="single" w:color="000000" w:sz="4"/>
                    <w:bottom w:val="single" w:color="000000" w:sz="4"/>
                    <w:right w:val="single" w:color="000000" w:sz="4"/>
                  </w:tcBorders>
                </w:tcP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、血尿酸</w:t>
                  </w:r>
                </w:p>
              </w:tc>
            </w:tr>
            <w:tr>
              <w:tc>
                <w:tcPr>
                  <w:tcW w:type="dxa" w:w="4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血脂四项</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检查有无血脂异常有助于高血压、动脉硬化、肥胖、冠心病、等的脂代谢异常诊断和治疗观察</w:t>
                  </w:r>
                </w:p>
              </w:tc>
            </w:tr>
            <w:tr>
              <w:tc>
                <w:tcPr>
                  <w:tcW w:type="dxa" w:w="414"/>
                  <w:vMerge/>
                  <w:tcBorders>
                    <w:top w:val="none" w:color="000000" w:sz="4"/>
                    <w:left w:val="single" w:color="000000" w:sz="4"/>
                    <w:bottom w:val="single" w:color="000000" w:sz="4"/>
                    <w:right w:val="single" w:color="000000" w:sz="4"/>
                  </w:tcBorders>
                </w:tcP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、总胆固醇</w:t>
                  </w:r>
                  <w:r>
                    <w:rPr>
                      <w:rFonts w:ascii="仿宋_GB2312" w:hAnsi="仿宋_GB2312" w:cs="仿宋_GB2312" w:eastAsia="仿宋_GB2312"/>
                      <w:sz w:val="21"/>
                    </w:rPr>
                    <w:t>(CHOL</w:t>
                  </w:r>
                  <w:r>
                    <w:rPr>
                      <w:rFonts w:ascii="仿宋_GB2312" w:hAnsi="仿宋_GB2312" w:cs="仿宋_GB2312" w:eastAsia="仿宋_GB2312"/>
                      <w:sz w:val="21"/>
                    </w:rPr>
                    <w:t>）</w:t>
                  </w:r>
                </w:p>
              </w:tc>
            </w:tr>
            <w:tr>
              <w:tc>
                <w:tcPr>
                  <w:tcW w:type="dxa" w:w="414"/>
                  <w:vMerge/>
                  <w:tcBorders>
                    <w:top w:val="none" w:color="000000" w:sz="4"/>
                    <w:left w:val="single" w:color="000000" w:sz="4"/>
                    <w:bottom w:val="single" w:color="000000" w:sz="4"/>
                    <w:right w:val="single" w:color="000000" w:sz="4"/>
                  </w:tcBorders>
                </w:tcP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、甘油三酯（</w:t>
                  </w:r>
                  <w:r>
                    <w:rPr>
                      <w:rFonts w:ascii="仿宋_GB2312" w:hAnsi="仿宋_GB2312" w:cs="仿宋_GB2312" w:eastAsia="仿宋_GB2312"/>
                      <w:sz w:val="21"/>
                    </w:rPr>
                    <w:t>TG)</w:t>
                  </w:r>
                </w:p>
              </w:tc>
            </w:tr>
            <w:tr>
              <w:tc>
                <w:tcPr>
                  <w:tcW w:type="dxa" w:w="414"/>
                  <w:vMerge/>
                  <w:tcBorders>
                    <w:top w:val="none" w:color="000000" w:sz="4"/>
                    <w:left w:val="single" w:color="000000" w:sz="4"/>
                    <w:bottom w:val="single" w:color="000000" w:sz="4"/>
                    <w:right w:val="single" w:color="000000" w:sz="4"/>
                  </w:tcBorders>
                </w:tcP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、高密度脂蛋白（</w:t>
                  </w:r>
                  <w:r>
                    <w:rPr>
                      <w:rFonts w:ascii="仿宋_GB2312" w:hAnsi="仿宋_GB2312" w:cs="仿宋_GB2312" w:eastAsia="仿宋_GB2312"/>
                      <w:sz w:val="21"/>
                    </w:rPr>
                    <w:t>HDL)</w:t>
                  </w:r>
                </w:p>
              </w:tc>
            </w:tr>
            <w:tr>
              <w:tc>
                <w:tcPr>
                  <w:tcW w:type="dxa" w:w="414"/>
                  <w:vMerge/>
                  <w:tcBorders>
                    <w:top w:val="none" w:color="000000" w:sz="4"/>
                    <w:left w:val="single" w:color="000000" w:sz="4"/>
                    <w:bottom w:val="single" w:color="000000" w:sz="4"/>
                    <w:right w:val="single" w:color="000000" w:sz="4"/>
                  </w:tcBorders>
                </w:tcP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、低密度胆固醇（</w:t>
                  </w:r>
                  <w:r>
                    <w:rPr>
                      <w:rFonts w:ascii="仿宋_GB2312" w:hAnsi="仿宋_GB2312" w:cs="仿宋_GB2312" w:eastAsia="仿宋_GB2312"/>
                      <w:sz w:val="21"/>
                    </w:rPr>
                    <w:t>LDL</w:t>
                  </w:r>
                  <w:r>
                    <w:rPr>
                      <w:rFonts w:ascii="仿宋_GB2312" w:hAnsi="仿宋_GB2312" w:cs="仿宋_GB2312" w:eastAsia="仿宋_GB2312"/>
                      <w:sz w:val="21"/>
                    </w:rPr>
                    <w:t>）</w:t>
                  </w:r>
                </w:p>
              </w:tc>
            </w:tr>
            <w:tr>
              <w:tc>
                <w:tcPr>
                  <w:tcW w:type="dxa" w:w="4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血液变学</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血液粘稠度的检测方法之一（脑中风先兆参考）</w:t>
                  </w: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、红细胞变形指数</w:t>
                  </w:r>
                  <w:r>
                    <w:rPr>
                      <w:rFonts w:ascii="仿宋_GB2312" w:hAnsi="仿宋_GB2312" w:cs="仿宋_GB2312" w:eastAsia="仿宋_GB2312"/>
                      <w:sz w:val="21"/>
                    </w:rPr>
                    <w:t>TK</w:t>
                  </w:r>
                </w:p>
              </w:tc>
              <w:tc>
                <w:tcPr>
                  <w:tcW w:type="dxa" w:w="15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了解血液及其有形成分的流动性与变形规律（血管的血液流变性、血液的流动性、粘滞性、变形性及凝固性等）。血液流变学作为脑中风先兆参考的检查方法之一，协助高粘滞血症疾病的诊断、治疗、疗效判定和预防等检测方法。</w:t>
                  </w: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、红细胞刚性指数</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、全血高切还原粘度</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、全血低切还原粘度</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、红细胞聚集指数</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、血沉方程</w:t>
                  </w:r>
                  <w:r>
                    <w:rPr>
                      <w:rFonts w:ascii="仿宋_GB2312" w:hAnsi="仿宋_GB2312" w:cs="仿宋_GB2312" w:eastAsia="仿宋_GB2312"/>
                      <w:sz w:val="21"/>
                    </w:rPr>
                    <w:t>K</w:t>
                  </w:r>
                  <w:r>
                    <w:rPr>
                      <w:rFonts w:ascii="仿宋_GB2312" w:hAnsi="仿宋_GB2312" w:cs="仿宋_GB2312" w:eastAsia="仿宋_GB2312"/>
                      <w:sz w:val="21"/>
                    </w:rPr>
                    <w:t>值</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、全血低切相对指数</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、全血高切相对指数</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、红细胞压积</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、血沉</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、血浆粘度</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、全血粘度高切</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、全血粘度中切</w:t>
                  </w:r>
                </w:p>
              </w:tc>
              <w:tc>
                <w:tcPr>
                  <w:tcW w:type="dxa" w:w="1569"/>
                  <w:vMerge/>
                  <w:tcBorders>
                    <w:top w:val="single" w:color="000000" w:sz="4"/>
                    <w:left w:val="none" w:color="000000" w:sz="4"/>
                    <w:bottom w:val="single" w:color="000000" w:sz="4"/>
                    <w:right w:val="single" w:color="000000" w:sz="4"/>
                  </w:tcBorders>
                </w:tcPr>
                <w:p/>
              </w:tc>
            </w:tr>
            <w:tr>
              <w:tc>
                <w:tcPr>
                  <w:tcW w:type="dxa" w:w="414"/>
                  <w:vMerge/>
                  <w:tcBorders>
                    <w:top w:val="none" w:color="000000" w:sz="4"/>
                    <w:left w:val="singl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、全血粘度低切</w:t>
                  </w:r>
                </w:p>
              </w:tc>
              <w:tc>
                <w:tcPr>
                  <w:tcW w:type="dxa" w:w="1569"/>
                  <w:vMerge/>
                  <w:tcBorders>
                    <w:top w:val="single" w:color="000000" w:sz="4"/>
                    <w:left w:val="none" w:color="000000" w:sz="4"/>
                    <w:bottom w:val="single" w:color="000000" w:sz="4"/>
                    <w:right w:val="single" w:color="000000" w:sz="4"/>
                  </w:tcBorders>
                </w:tcP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空腹血糖</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检查糖代谢情况，有无糖尿病或低血糖症。</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尿素碳</w:t>
                  </w:r>
                  <w:r>
                    <w:rPr>
                      <w:rFonts w:ascii="仿宋_GB2312" w:hAnsi="仿宋_GB2312" w:cs="仿宋_GB2312" w:eastAsia="仿宋_GB2312"/>
                      <w:sz w:val="21"/>
                    </w:rPr>
                    <w:t>14</w:t>
                  </w:r>
                  <w:r>
                    <w:rPr>
                      <w:rFonts w:ascii="仿宋_GB2312" w:hAnsi="仿宋_GB2312" w:cs="仿宋_GB2312" w:eastAsia="仿宋_GB2312"/>
                      <w:sz w:val="21"/>
                    </w:rPr>
                    <w:t>呼吸试验检测</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尿素碳</w:t>
                  </w:r>
                  <w:r>
                    <w:rPr>
                      <w:rFonts w:ascii="仿宋_GB2312" w:hAnsi="仿宋_GB2312" w:cs="仿宋_GB2312" w:eastAsia="仿宋_GB2312"/>
                      <w:sz w:val="21"/>
                    </w:rPr>
                    <w:t>14</w:t>
                  </w:r>
                  <w:r>
                    <w:rPr>
                      <w:rFonts w:ascii="仿宋_GB2312" w:hAnsi="仿宋_GB2312" w:cs="仿宋_GB2312" w:eastAsia="仿宋_GB2312"/>
                      <w:sz w:val="21"/>
                    </w:rPr>
                    <w:t>呼吸试验是最敏感、特异性最高、无创、可定性和定量的检测胃幽门螺杆菌感染的与否。（此菌与久治不愈的胃炎、溃疡病有关，并确认是人类患胃癌的Ⅰ类致癌原）</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乙肝五项</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有无乙型肝炎病毒感染、是否产生抗体及是否注射乙肝疫苗。</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糖化血红蛋白</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反应采血前</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个月的总体血糖水平。糖尿病的诊断，监测项目及疗效观察</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心肌酶谱检测</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心肌炎、心梗等疾病的生化检测指标（</w:t>
                  </w:r>
                  <w:r>
                    <w:rPr>
                      <w:rFonts w:ascii="仿宋_GB2312" w:hAnsi="仿宋_GB2312" w:cs="仿宋_GB2312" w:eastAsia="仿宋_GB2312"/>
                      <w:sz w:val="21"/>
                    </w:rPr>
                    <w:t xml:space="preserve">CK </w:t>
                  </w:r>
                  <w:r>
                    <w:rPr>
                      <w:rFonts w:ascii="仿宋_GB2312" w:hAnsi="仿宋_GB2312" w:cs="仿宋_GB2312" w:eastAsia="仿宋_GB2312"/>
                      <w:sz w:val="21"/>
                    </w:rPr>
                    <w:t>、</w:t>
                  </w:r>
                  <w:r>
                    <w:rPr>
                      <w:rFonts w:ascii="仿宋_GB2312" w:hAnsi="仿宋_GB2312" w:cs="仿宋_GB2312" w:eastAsia="仿宋_GB2312"/>
                      <w:sz w:val="21"/>
                    </w:rPr>
                    <w:t>LDH  AST</w:t>
                  </w:r>
                  <w:r>
                    <w:rPr>
                      <w:rFonts w:ascii="仿宋_GB2312" w:hAnsi="仿宋_GB2312" w:cs="仿宋_GB2312" w:eastAsia="仿宋_GB2312"/>
                      <w:sz w:val="21"/>
                    </w:rPr>
                    <w:t>、</w:t>
                  </w:r>
                  <w:r>
                    <w:rPr>
                      <w:rFonts w:ascii="仿宋_GB2312" w:hAnsi="仿宋_GB2312" w:cs="仿宋_GB2312" w:eastAsia="仿宋_GB2312"/>
                      <w:sz w:val="21"/>
                    </w:rPr>
                    <w:t>CK</w:t>
                  </w:r>
                  <w:r>
                    <w:rPr>
                      <w:rFonts w:ascii="仿宋_GB2312" w:hAnsi="仿宋_GB2312" w:cs="仿宋_GB2312" w:eastAsia="仿宋_GB2312"/>
                      <w:sz w:val="21"/>
                    </w:rPr>
                    <w:t>—</w:t>
                  </w:r>
                  <w:r>
                    <w:rPr>
                      <w:rFonts w:ascii="仿宋_GB2312" w:hAnsi="仿宋_GB2312" w:cs="仿宋_GB2312" w:eastAsia="仿宋_GB2312"/>
                      <w:sz w:val="21"/>
                    </w:rPr>
                    <w:t>MB</w:t>
                  </w:r>
                  <w:r>
                    <w:rPr>
                      <w:rFonts w:ascii="仿宋_GB2312" w:hAnsi="仿宋_GB2312" w:cs="仿宋_GB2312" w:eastAsia="仿宋_GB2312"/>
                      <w:sz w:val="21"/>
                    </w:rPr>
                    <w:t>、ａ</w:t>
                  </w:r>
                  <w:r>
                    <w:rPr>
                      <w:rFonts w:ascii="仿宋_GB2312" w:hAnsi="仿宋_GB2312" w:cs="仿宋_GB2312" w:eastAsia="仿宋_GB2312"/>
                      <w:sz w:val="21"/>
                    </w:rPr>
                    <w:t>-HBDH</w:t>
                  </w:r>
                  <w:r>
                    <w:rPr>
                      <w:rFonts w:ascii="仿宋_GB2312" w:hAnsi="仿宋_GB2312" w:cs="仿宋_GB2312" w:eastAsia="仿宋_GB2312"/>
                      <w:sz w:val="21"/>
                    </w:rPr>
                    <w:t>）</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w:t>
                  </w:r>
                  <w:r>
                    <w:rPr>
                      <w:rFonts w:ascii="仿宋_GB2312" w:hAnsi="仿宋_GB2312" w:cs="仿宋_GB2312" w:eastAsia="仿宋_GB2312"/>
                      <w:sz w:val="21"/>
                    </w:rPr>
                    <w:t>反应蛋白</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用于细菌感染引发的急、慢性炎症参考。自身免疫性疾病及并发症感染的鉴别</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超敏</w:t>
                  </w:r>
                  <w:r>
                    <w:rPr>
                      <w:rFonts w:ascii="仿宋_GB2312" w:hAnsi="仿宋_GB2312" w:cs="仿宋_GB2312" w:eastAsia="仿宋_GB2312"/>
                      <w:sz w:val="21"/>
                    </w:rPr>
                    <w:t>C</w:t>
                  </w:r>
                  <w:r>
                    <w:rPr>
                      <w:rFonts w:ascii="仿宋_GB2312" w:hAnsi="仿宋_GB2312" w:cs="仿宋_GB2312" w:eastAsia="仿宋_GB2312"/>
                      <w:sz w:val="21"/>
                    </w:rPr>
                    <w:t>反应蛋白</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心脑血管风险预测指标。用于心脑血管疾病诊断、观察及预后</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髓过氧化物酶</w:t>
                  </w:r>
                  <w:r>
                    <w:rPr>
                      <w:rFonts w:ascii="仿宋_GB2312" w:hAnsi="仿宋_GB2312" w:cs="仿宋_GB2312" w:eastAsia="仿宋_GB2312"/>
                      <w:sz w:val="21"/>
                    </w:rPr>
                    <w:t>MPO</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预测健康人群未来冠心病的发生。早期发现亚健康人群血管粥样斑块的形成及稳定性。判断冠心病患者</w:t>
                  </w:r>
                  <w:r>
                    <w:rPr>
                      <w:rFonts w:ascii="仿宋_GB2312" w:hAnsi="仿宋_GB2312" w:cs="仿宋_GB2312" w:eastAsia="仿宋_GB2312"/>
                      <w:sz w:val="21"/>
                    </w:rPr>
                    <w:t>6</w:t>
                  </w:r>
                  <w:r>
                    <w:rPr>
                      <w:rFonts w:ascii="仿宋_GB2312" w:hAnsi="仿宋_GB2312" w:cs="仿宋_GB2312" w:eastAsia="仿宋_GB2312"/>
                      <w:sz w:val="21"/>
                    </w:rPr>
                    <w:t>个月内心肌梗死的风险</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胃功能三项检测</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了解胃粘膜状态和功能，筛查胃部重大疾病</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甲功三项</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了解甲状腺功能，鉴别免疫性疾病、指导治疗。（</w:t>
                  </w:r>
                  <w:r>
                    <w:rPr>
                      <w:rFonts w:ascii="仿宋_GB2312" w:hAnsi="仿宋_GB2312" w:cs="仿宋_GB2312" w:eastAsia="仿宋_GB2312"/>
                      <w:sz w:val="21"/>
                    </w:rPr>
                    <w:t>T3</w:t>
                  </w:r>
                  <w:r>
                    <w:rPr>
                      <w:rFonts w:ascii="仿宋_GB2312" w:hAnsi="仿宋_GB2312" w:cs="仿宋_GB2312" w:eastAsia="仿宋_GB2312"/>
                      <w:sz w:val="21"/>
                    </w:rPr>
                    <w:t>、</w:t>
                  </w:r>
                  <w:r>
                    <w:rPr>
                      <w:rFonts w:ascii="仿宋_GB2312" w:hAnsi="仿宋_GB2312" w:cs="仿宋_GB2312" w:eastAsia="仿宋_GB2312"/>
                      <w:sz w:val="21"/>
                    </w:rPr>
                    <w:t>T4</w:t>
                  </w:r>
                  <w:r>
                    <w:rPr>
                      <w:rFonts w:ascii="仿宋_GB2312" w:hAnsi="仿宋_GB2312" w:cs="仿宋_GB2312" w:eastAsia="仿宋_GB2312"/>
                      <w:sz w:val="21"/>
                    </w:rPr>
                    <w:t>、</w:t>
                  </w:r>
                  <w:r>
                    <w:rPr>
                      <w:rFonts w:ascii="仿宋_GB2312" w:hAnsi="仿宋_GB2312" w:cs="仿宋_GB2312" w:eastAsia="仿宋_GB2312"/>
                      <w:sz w:val="21"/>
                    </w:rPr>
                    <w:t>TSH</w:t>
                  </w:r>
                  <w:r>
                    <w:rPr>
                      <w:rFonts w:ascii="仿宋_GB2312" w:hAnsi="仿宋_GB2312" w:cs="仿宋_GB2312" w:eastAsia="仿宋_GB2312"/>
                      <w:sz w:val="21"/>
                    </w:rPr>
                    <w:t>）</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甲胎蛋白（定量）</w:t>
                  </w:r>
                  <w:r>
                    <w:rPr>
                      <w:rFonts w:ascii="仿宋_GB2312" w:hAnsi="仿宋_GB2312" w:cs="仿宋_GB2312" w:eastAsia="仿宋_GB2312"/>
                      <w:sz w:val="21"/>
                    </w:rPr>
                    <w:t xml:space="preserve">                                   </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筛查病毒性肝炎、肝癌、肝硬化等疾病，是原发性肝癌的标志物检查</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癌胚抗原（定量）</w:t>
                  </w:r>
                  <w:r>
                    <w:rPr>
                      <w:rFonts w:ascii="仿宋_GB2312" w:hAnsi="仿宋_GB2312" w:cs="仿宋_GB2312" w:eastAsia="仿宋_GB2312"/>
                      <w:sz w:val="21"/>
                    </w:rPr>
                    <w:t xml:space="preserve">                                      </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筛查胃癌、胆囊癌、结肠癌、直肠癌的标志物检查。</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铁蛋白</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贫血、肝功能异常，筛查肝癌等</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糖类抗原</w:t>
                  </w:r>
                  <w:r>
                    <w:rPr>
                      <w:rFonts w:ascii="仿宋_GB2312" w:hAnsi="仿宋_GB2312" w:cs="仿宋_GB2312" w:eastAsia="仿宋_GB2312"/>
                      <w:sz w:val="21"/>
                    </w:rPr>
                    <w:t>CA19-9</w:t>
                  </w:r>
                  <w:r>
                    <w:rPr>
                      <w:rFonts w:ascii="仿宋_GB2312" w:hAnsi="仿宋_GB2312" w:cs="仿宋_GB2312" w:eastAsia="仿宋_GB2312"/>
                      <w:sz w:val="21"/>
                    </w:rPr>
                    <w:t xml:space="preserve">测定                                      </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是糖抗原的一种，增高多提示有胰腺炎、肝硬化、糖尿病、消化道肿瘤的可能</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总前列腺特异性抗原</w:t>
                  </w:r>
                  <w:r>
                    <w:rPr>
                      <w:rFonts w:ascii="仿宋_GB2312" w:hAnsi="仿宋_GB2312" w:cs="仿宋_GB2312" w:eastAsia="仿宋_GB2312"/>
                      <w:sz w:val="21"/>
                    </w:rPr>
                    <w:t>F-PSA</w:t>
                  </w:r>
                  <w:r>
                    <w:rPr>
                      <w:rFonts w:ascii="仿宋_GB2312" w:hAnsi="仿宋_GB2312" w:cs="仿宋_GB2312" w:eastAsia="仿宋_GB2312"/>
                      <w:sz w:val="21"/>
                    </w:rPr>
                    <w:t>（定量）</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筛查前列腺肿瘤。</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前列腺特异抗原（定量）</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筛查前列腺肿瘤。</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糖类抗原</w:t>
                  </w:r>
                  <w:r>
                    <w:rPr>
                      <w:rFonts w:ascii="仿宋_GB2312" w:hAnsi="仿宋_GB2312" w:cs="仿宋_GB2312" w:eastAsia="仿宋_GB2312"/>
                      <w:sz w:val="21"/>
                    </w:rPr>
                    <w:t>CA12-5</w:t>
                  </w:r>
                  <w:r>
                    <w:rPr>
                      <w:rFonts w:ascii="仿宋_GB2312" w:hAnsi="仿宋_GB2312" w:cs="仿宋_GB2312" w:eastAsia="仿宋_GB2312"/>
                      <w:sz w:val="21"/>
                    </w:rPr>
                    <w:t xml:space="preserve">测定                                                  </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不仅是卵巢癌的特异性标志物，输卵管腺癌、子宫内膜癌、宫颈癌、胰腺癌、肠癌、乳腺癌和肺癌患者</w:t>
                  </w:r>
                  <w:r>
                    <w:rPr>
                      <w:rFonts w:ascii="仿宋_GB2312" w:hAnsi="仿宋_GB2312" w:cs="仿宋_GB2312" w:eastAsia="仿宋_GB2312"/>
                      <w:sz w:val="21"/>
                    </w:rPr>
                    <w:t>CA125</w:t>
                  </w:r>
                  <w:r>
                    <w:rPr>
                      <w:rFonts w:ascii="仿宋_GB2312" w:hAnsi="仿宋_GB2312" w:cs="仿宋_GB2312" w:eastAsia="仿宋_GB2312"/>
                      <w:sz w:val="21"/>
                    </w:rPr>
                    <w:t>的水平也会升高。</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糖类抗原</w:t>
                  </w:r>
                  <w:r>
                    <w:rPr>
                      <w:rFonts w:ascii="仿宋_GB2312" w:hAnsi="仿宋_GB2312" w:cs="仿宋_GB2312" w:eastAsia="仿宋_GB2312"/>
                      <w:sz w:val="21"/>
                    </w:rPr>
                    <w:t>CA15-3</w:t>
                  </w:r>
                  <w:r>
                    <w:rPr>
                      <w:rFonts w:ascii="仿宋_GB2312" w:hAnsi="仿宋_GB2312" w:cs="仿宋_GB2312" w:eastAsia="仿宋_GB2312"/>
                      <w:sz w:val="21"/>
                    </w:rPr>
                    <w:t xml:space="preserve">测定                                         </w:t>
                  </w:r>
                </w:p>
              </w:tc>
              <w:tc>
                <w:tcPr>
                  <w:tcW w:type="dxa" w:w="2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是一种乳腺癌相关抗原，对乳腺癌的诊断和术后随访有一定的价值。乳腺癌常有</w:t>
                  </w:r>
                  <w:r>
                    <w:rPr>
                      <w:rFonts w:ascii="仿宋_GB2312" w:hAnsi="仿宋_GB2312" w:cs="仿宋_GB2312" w:eastAsia="仿宋_GB2312"/>
                      <w:sz w:val="21"/>
                    </w:rPr>
                    <w:t>CA153</w:t>
                  </w:r>
                  <w:r>
                    <w:rPr>
                      <w:rFonts w:ascii="仿宋_GB2312" w:hAnsi="仿宋_GB2312" w:cs="仿宋_GB2312" w:eastAsia="仿宋_GB2312"/>
                      <w:sz w:val="21"/>
                    </w:rPr>
                    <w:t>升高，在乳腺癌初期敏感性较低，约</w:t>
                  </w:r>
                  <w:r>
                    <w:rPr>
                      <w:rFonts w:ascii="仿宋_GB2312" w:hAnsi="仿宋_GB2312" w:cs="仿宋_GB2312" w:eastAsia="仿宋_GB2312"/>
                      <w:sz w:val="21"/>
                    </w:rPr>
                    <w:t>60%</w:t>
                  </w:r>
                  <w:r>
                    <w:rPr>
                      <w:rFonts w:ascii="仿宋_GB2312" w:hAnsi="仿宋_GB2312" w:cs="仿宋_GB2312" w:eastAsia="仿宋_GB2312"/>
                      <w:sz w:val="21"/>
                    </w:rPr>
                    <w:t>。转移性乳腺癌的阳性率可达</w:t>
                  </w:r>
                  <w:r>
                    <w:rPr>
                      <w:rFonts w:ascii="仿宋_GB2312" w:hAnsi="仿宋_GB2312" w:cs="仿宋_GB2312" w:eastAsia="仿宋_GB2312"/>
                      <w:sz w:val="21"/>
                    </w:rPr>
                    <w:t>80%</w:t>
                  </w:r>
                  <w:r>
                    <w:rPr>
                      <w:rFonts w:ascii="仿宋_GB2312" w:hAnsi="仿宋_GB2312" w:cs="仿宋_GB2312" w:eastAsia="仿宋_GB2312"/>
                      <w:sz w:val="21"/>
                    </w:rPr>
                    <w:t>。在欧洲，</w:t>
                  </w:r>
                  <w:r>
                    <w:rPr>
                      <w:rFonts w:ascii="仿宋_GB2312" w:hAnsi="仿宋_GB2312" w:cs="仿宋_GB2312" w:eastAsia="仿宋_GB2312"/>
                      <w:sz w:val="21"/>
                    </w:rPr>
                    <w:t>CA153</w:t>
                  </w:r>
                  <w:r>
                    <w:rPr>
                      <w:rFonts w:ascii="仿宋_GB2312" w:hAnsi="仿宋_GB2312" w:cs="仿宋_GB2312" w:eastAsia="仿宋_GB2312"/>
                      <w:sz w:val="21"/>
                    </w:rPr>
                    <w:t>常用来作为乳腺癌辅助诊断指标，也是用于术后随访，监测肿瘤复发，转移的指标。</w:t>
                  </w:r>
                </w:p>
              </w:tc>
            </w:tr>
          </w:tbl>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1"/>
                <w:b/>
              </w:rPr>
              <w:t>供应商报价时必须按照单价</w:t>
            </w:r>
            <w:r>
              <w:rPr>
                <w:rFonts w:ascii="仿宋_GB2312" w:hAnsi="仿宋_GB2312" w:cs="仿宋_GB2312" w:eastAsia="仿宋_GB2312"/>
                <w:sz w:val="21"/>
                <w:b/>
              </w:rPr>
              <w:t>1000</w:t>
            </w:r>
            <w:r>
              <w:rPr>
                <w:rFonts w:ascii="仿宋_GB2312" w:hAnsi="仿宋_GB2312" w:cs="仿宋_GB2312" w:eastAsia="仿宋_GB2312"/>
                <w:sz w:val="21"/>
                <w:b/>
              </w:rPr>
              <w:t>元</w:t>
            </w:r>
            <w:r>
              <w:rPr>
                <w:rFonts w:ascii="仿宋_GB2312" w:hAnsi="仿宋_GB2312" w:cs="仿宋_GB2312" w:eastAsia="仿宋_GB2312"/>
                <w:sz w:val="21"/>
                <w:b/>
              </w:rPr>
              <w:t>/</w:t>
            </w:r>
            <w:r>
              <w:rPr>
                <w:rFonts w:ascii="仿宋_GB2312" w:hAnsi="仿宋_GB2312" w:cs="仿宋_GB2312" w:eastAsia="仿宋_GB2312"/>
                <w:sz w:val="21"/>
                <w:b/>
              </w:rPr>
              <w:t>人进行报价，如有其他报价按无效报价处理。本项目为固定单价合同（固定单价合同按照实际体检人数据实按每人</w:t>
            </w:r>
            <w:r>
              <w:rPr>
                <w:rFonts w:ascii="仿宋_GB2312" w:hAnsi="仿宋_GB2312" w:cs="仿宋_GB2312" w:eastAsia="仿宋_GB2312"/>
                <w:sz w:val="21"/>
                <w:b/>
              </w:rPr>
              <w:t>1000</w:t>
            </w:r>
            <w:r>
              <w:rPr>
                <w:rFonts w:ascii="仿宋_GB2312" w:hAnsi="仿宋_GB2312" w:cs="仿宋_GB2312" w:eastAsia="仿宋_GB2312"/>
                <w:sz w:val="21"/>
                <w:b/>
              </w:rPr>
              <w:t>元结算）</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磋商最终报价应是完成磋商内容所需的全部费用，包括但不限于：体检服务所发生的劳务费用、管理费用、运输费用、人员工资、材料费用、水电费用、风险费用、招标代理服务费、利润、税金以及本次服务的体检项目所需的一次性消耗品、检查仪器、人员、运输等所有费用等在内的一切费用。要求的其他相关费用以本竞争性磋商文件的内容和要求作为磋商依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各检查项目的科室应配备副主任及以上职称人员做为各检查项目科室的负责人员，并且在服务期内本人应在体检服务现场为离退休教职工进行体检。</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仪器设备包括但不限于以下内容：①彩超仪器设备； ②心电图仪器设备； ③CT机设备； ④血液检测设备。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1、供应商应针对离退休教职工人群安排VIP专场体检服务； 2、供应商应提供免费车接车送服务。考虑到离退休职工家属区较分散，供应商须安排每个家属区专车接送（不少于2~3次，具体次数及时间安排以采购人通知为准），若约定时间专车的入座率未达到约定人数，待采购人负责人落实无误后正常出车，不得因为体检人数少而不出车或者变更车辆、体检时间等； 3、考虑到本项目体检人员均为离退休教职工，年龄较长、身体可能的突发因素较多，供应商须在专车及体检场所配备专业且经培训的急救人员3名，以及提供必备的急救措施及相关设备； 4、本项目离退休教职工人数预估882人，采购人不对具体人数做出承诺，本项目根据实际体检人数及单价进行结算； 5、体检结果纳入相关档案存储系统管理保存，体检者可以随时电话查询健康档案，档案需准确无误； 6、体检结束后10个工作日内，以纸质报告形式保存由专人对体检报告进行分类整理，体检书面报告包括专家结论及整体健康评估报告，体检报告袋密封，以保护个人隐私，并保证体检结果不外泄，最终体检报告统一由供应商送至采购人指定处； 7、供应商须选派责任心强，医技水平好的医生负责体检工作，参加体检的医生具有副主任医师以上职称； 8、体检结束后须进行健康追踪，对存在健康隐患的人员给予就医指导帮助且定期追踪其健康状况；对体检结果有异常者提供专家预约、就诊、住院绿色通道；对体检发现的危急重症患者提供急救及转诊绿色通道； 9、当日体检结束后提供免费早餐； 10、体检过程中如遇设备故障应启动应急预案。应配备导检人员，为受检员工提供体检上的便利， 提供优质高效的健康管理服务。 11、每次安排体检的具体时间及具体人次须跟采购人提前协商，根据采购人要求的时间安排执行项目检查；未按时参加人员可与采购人协商决定，适当延迟； 12、供应商须承诺若体检人员无法或主动放弃某体检项目，则须为其替换其他项目（至少为同等价位项目）。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自合同签订之日起至2025年11月15日。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①如乙方为非中小企业时： 甲方全部体检人员体检完毕之日起10个工作日内，乙方向甲方提供已完成的体检人数结算表及整体体检情况报告等相关资料，待甲方审核确认后15个工作日内一次性向乙方办理费用的支付手续。 乙方须在甲方办理付款手续之前提供等额的正式发票及全部体检人员清单给甲方，以便甲方及时办理支付手续。 ②如乙方为中小企业时： 乙方为中小型企业（需提供中小型企业说明函），支付方式如下： 1）合同签订后30天内，甲方向乙方支付合同总价款40%作为预付款，乙方需提供相关收款依据。 2）甲方全部体检人员体检完毕之日起10个工作日，乙方向甲方提供已完成的体检人数结算表及整体体检情况报告等相关资料，待甲方审核确认后15个工作日内向乙方支付合同总价款的60%。 乙方须在甲方办理付款手续之前提供等额的正式发票及全部体检人员清单给甲方，以便甲方及时办理支付手续。</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2.为顺利推进政府采购电子化交易平台应用工作，供应商需要在线提交所有通过电子化交易平台实施的政府采购项目的响应文件，同时，线下提交纸质响应文件正本壹份、副本贰份、电子版壹份（U盘壹份）。纸质响文件应与电子化交易平台提交的电子响应文件一致，若电子响应文件与纸质响应文件不一致的，以电子响应文件为准。纸质响应文件正副本须分袋密封，电子版响应文件一份（U盘）密封在响应文件正本封袋中递交。纸质投标文件建议A4纸双面打印，装订成册并编制目录和页码，密封并加盖公章；3.线下纸质文件递交截止时间：同在线递交电子响应文件截止时间一致；线下纸质文件递交地点：西安市南二环西段58号成长大厦10楼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 提供注册登记凭证（营业执照、其他组织经营的合法凭证，自然人的提供身份证明文件）。 2）具有良好的商业信誉和健全的财务会计制度 提供经审计的2023年或2024年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 /或财政部门认可的政府采购专业担保机构出具的磋商担保函； 以上三种形式的资料提供任何一种即可。 3）具有履行合同所必需的设备和专业技术能力 提供声明文件。 4）具有依法缴纳税收的良好记录 提供缴费所属日期为磋商截止时间前6个月内任一月份（磋商截止时间当月不计入）的增值税（或所得税）缴费凭据或税务机关出具的完税证明/在法规范围内不需提供的应出具书面说明和证明文件。 5）具有依法缴纳社会保障资金的良好记录 提供缴费所属日期为磋商截止时间前6个月内任一月份（磋商截止时间当月不计入）的缴费凭据或社保机关出具的缴费证明/在法规范围内不需提供的应出具书面说明和证明文件。 6）参加政府采购活动前3年内在经营活动中没有重大违法记录的书面声明。 7）法人代表（或单位负责人)授权书。</w:t>
            </w:r>
          </w:p>
        </w:tc>
        <w:tc>
          <w:tcPr>
            <w:tcW w:type="dxa" w:w="1661"/>
          </w:tcPr>
          <w:p>
            <w:pPr>
              <w:pStyle w:val="null3"/>
            </w:pPr>
            <w:r>
              <w:rPr>
                <w:rFonts w:ascii="仿宋_GB2312" w:hAnsi="仿宋_GB2312" w:cs="仿宋_GB2312" w:eastAsia="仿宋_GB2312"/>
              </w:rPr>
              <w:t>供应商应提交的相关资格证明材料 响应函 5法人授权书或法人身份证明.docx 1供应商应提交的资格证明文件.docx 4拒绝政府采购领域商业贿赂承诺书.docx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1供应商应提交的资格证明文件.docx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在磋商截止时间，供应商不得存在列入失信被执行人（“中国执行信息公开网”http://zxgk.court.gov.cn/shixin/）的情形、不得存在列入信用中国（www.creditchina.gov.cn）重大税收违法失信主体和政府采购严重违法失信行为记录名单的情形， 不得存在列入中国政府采购网（www.ccgp.gov.cn）政府采购严重违法失信行为记录名单的情形。</w:t>
            </w:r>
          </w:p>
        </w:tc>
        <w:tc>
          <w:tcPr>
            <w:tcW w:type="dxa" w:w="1661"/>
          </w:tcPr>
          <w:p>
            <w:pPr>
              <w:pStyle w:val="null3"/>
            </w:pPr>
            <w:r>
              <w:rPr>
                <w:rFonts w:ascii="仿宋_GB2312" w:hAnsi="仿宋_GB2312" w:cs="仿宋_GB2312" w:eastAsia="仿宋_GB2312"/>
              </w:rPr>
              <w:t>1供应商应提交的资格证明文件.docx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供应商具有卫生行政部门核准登记取得的《医疗机构执业许可证》和《放射诊疗许可证》。</w:t>
            </w:r>
          </w:p>
        </w:tc>
        <w:tc>
          <w:tcPr>
            <w:tcW w:type="dxa" w:w="1661"/>
          </w:tcPr>
          <w:p>
            <w:pPr>
              <w:pStyle w:val="null3"/>
            </w:pPr>
            <w:r>
              <w:rPr>
                <w:rFonts w:ascii="仿宋_GB2312" w:hAnsi="仿宋_GB2312" w:cs="仿宋_GB2312" w:eastAsia="仿宋_GB2312"/>
              </w:rPr>
              <w:t>1供应商应提交的资格证明文件.docx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磋商响应文件的完整性、有效性、 响应性审查</w:t>
            </w:r>
          </w:p>
        </w:tc>
        <w:tc>
          <w:tcPr>
            <w:tcW w:type="dxa" w:w="3322"/>
          </w:tcPr>
          <w:p>
            <w:pPr>
              <w:pStyle w:val="null3"/>
            </w:pPr>
            <w:r>
              <w:rPr>
                <w:rFonts w:ascii="仿宋_GB2312" w:hAnsi="仿宋_GB2312" w:cs="仿宋_GB2312" w:eastAsia="仿宋_GB2312"/>
              </w:rPr>
              <w:t>响应文件是否按照磋商文件要求的格式编写，响应文件的签署、加盖印章是否合格、有效，磋商报价是否未超过采购预算或最高限价，磋商报价有效期是否符合磋商文件的要求，是否完全满足磋商文件所要求的合同及商务条款。</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完全符合“第三章 磋商项目技术、服务、商务及其他要求”中“3.2.5其他要求”的相关内容，没有负偏离计10分；服务指标每有一项负偏离扣1分，扣完为止。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服务项目</w:t>
            </w:r>
          </w:p>
        </w:tc>
        <w:tc>
          <w:tcPr>
            <w:tcW w:type="dxa" w:w="2492"/>
          </w:tcPr>
          <w:p>
            <w:pPr>
              <w:pStyle w:val="null3"/>
            </w:pPr>
            <w:r>
              <w:rPr>
                <w:rFonts w:ascii="仿宋_GB2312" w:hAnsi="仿宋_GB2312" w:cs="仿宋_GB2312" w:eastAsia="仿宋_GB2312"/>
              </w:rPr>
              <w:t>在磋商文件要求的基础体检项目之外，供应商每多提供一项体检项目，根据其针对性及实用性计1-2分,满分10分，未提供的不计分。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商提供的服务方案中包括的服务内容，包括体检计划、服务流程、服务承诺、引导检查、人员接送、医检分离等，根据方案及服务内容比较后进行赋分：（1）服务方案非常详细、完整的，计[10-15]分；（2）服务方案较详细、较完整的，计[5-10)分； （3）服务方案不详细、不完整的，计[0-5)分；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设备情况</w:t>
            </w:r>
          </w:p>
        </w:tc>
        <w:tc>
          <w:tcPr>
            <w:tcW w:type="dxa" w:w="2492"/>
          </w:tcPr>
          <w:p>
            <w:pPr>
              <w:pStyle w:val="null3"/>
            </w:pPr>
            <w:r>
              <w:rPr>
                <w:rFonts w:ascii="仿宋_GB2312" w:hAnsi="仿宋_GB2312" w:cs="仿宋_GB2312" w:eastAsia="仿宋_GB2312"/>
              </w:rPr>
              <w:t>根据供应商提供的针对本项目拟投入的体检仪器及工具进行评分： 1）拟投入的体检仪器及工具包含进口肿瘤仪及配套试剂、进口宫颈液基薄层细胞学检测试剂、彩超仪器设备、心电图仪器设备、CT机设备、血液检测设备等能满足本次采购体检服务要求的（需提供佐证材料或照片）,根据方案及服务内容比较后进行赋分：（1）服务方案非常详细、完整的，计[10-15]分；（2）服务方案较详细、较完整的，计[5-10)分； （3）服务方案不详细、不完整的，计[0-5)分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根据供应商提供的服务承诺进行评分，包含但不限于为本项目提供免费的医疗咨询服务、体检后期对体检人员的定期回访等。 1）提供免费的医疗咨询服务措施、体检后期对体检人员的定期回访措施等具有可行性，内容非常详细、完整计[7-10]分；2）服务内容较详细、较完整的，可行性较一般计[3-7)分；3）承诺内容及措施不详细、不完整的，可行性较差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涉及本次检查的科室每科拥有2名以上（含2名）副主任医师或副主任技师（及以上）得5分，每科拥有1名副主任医师或副主任技师（及以上）得3分，否则不得分；（需提供副主任医师或副主任技师（及以上）证明材料，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人员实力</w:t>
            </w:r>
          </w:p>
        </w:tc>
        <w:tc>
          <w:tcPr>
            <w:tcW w:type="dxa" w:w="2492"/>
          </w:tcPr>
          <w:p>
            <w:pPr>
              <w:pStyle w:val="null3"/>
            </w:pPr>
            <w:r>
              <w:rPr>
                <w:rFonts w:ascii="仿宋_GB2312" w:hAnsi="仿宋_GB2312" w:cs="仿宋_GB2312" w:eastAsia="仿宋_GB2312"/>
              </w:rPr>
              <w:t>医院或体检机构具有中级职称以上医务人员占30名及以上的，计5分，10（含）-30名（不含）的，得3分，10名及以下不得分；（需提供中级职称以上证明材料，未提供不得分）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服务场所</w:t>
            </w:r>
          </w:p>
        </w:tc>
        <w:tc>
          <w:tcPr>
            <w:tcW w:type="dxa" w:w="2492"/>
          </w:tcPr>
          <w:p>
            <w:pPr>
              <w:pStyle w:val="null3"/>
            </w:pPr>
            <w:r>
              <w:rPr>
                <w:rFonts w:ascii="仿宋_GB2312" w:hAnsi="仿宋_GB2312" w:cs="仿宋_GB2312" w:eastAsia="仿宋_GB2312"/>
              </w:rPr>
              <w:t>根据供应商提供的体检地点、环境、基本设施、卫生状况进行评分： 1）提供布局图、照片等，体检地点、环境、基本设施、卫生状况描述全面计（3-5]分； 2）未达到上述要求的计[0-3]分。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根据供应商提供的针对本项目提供对体检信息的保密措施进行评分： 1）供应商承诺严格对体检信息保密，承诺措施具有可行性计（3-5]分； 2）未达到上述要求的计[0-3]分。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自有实验室情况</w:t>
            </w:r>
          </w:p>
        </w:tc>
        <w:tc>
          <w:tcPr>
            <w:tcW w:type="dxa" w:w="2492"/>
          </w:tcPr>
          <w:p>
            <w:pPr>
              <w:pStyle w:val="null3"/>
            </w:pPr>
            <w:r>
              <w:rPr>
                <w:rFonts w:ascii="仿宋_GB2312" w:hAnsi="仿宋_GB2312" w:cs="仿宋_GB2312" w:eastAsia="仿宋_GB2312"/>
              </w:rPr>
              <w:t>供应商具备自有实验室进行评分： 1）供应商具备自有实验室，并能提供图片或其他证明材料（证明材料需与本项目检测内容相关）的计（3-5]分； 2）未达到上述要求的计[0-3]分。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供应商对体检结果异常检查者，可提供的便利服务进行评分： 1）供应商对体检结果有异常需进一步检查者具有优惠条件及增值服务，对体检发现的危急重症患者提供急救及转诊绿色通道计（3-5]分； 2）未达到上述要求的计[0-3]分。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供应商应提供2022年1月1日（以合同签定时间为准）以来同类业绩合同，每份得2分，满分10分。（以合同复印件加盖公章为准）。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3业绩.docx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2报价表.docx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详见附件：1供应商应提交的资格证明文件.docx</w:t>
      </w:r>
    </w:p>
    <w:p>
      <w:pPr>
        <w:pStyle w:val="null3"/>
        <w:ind w:firstLine="960"/>
      </w:pPr>
      <w:r>
        <w:rPr>
          <w:rFonts w:ascii="仿宋_GB2312" w:hAnsi="仿宋_GB2312" w:cs="仿宋_GB2312" w:eastAsia="仿宋_GB2312"/>
        </w:rPr>
        <w:t>详见附件：2报价表.docx</w:t>
      </w:r>
    </w:p>
    <w:p>
      <w:pPr>
        <w:pStyle w:val="null3"/>
        <w:ind w:firstLine="960"/>
      </w:pPr>
      <w:r>
        <w:rPr>
          <w:rFonts w:ascii="仿宋_GB2312" w:hAnsi="仿宋_GB2312" w:cs="仿宋_GB2312" w:eastAsia="仿宋_GB2312"/>
        </w:rPr>
        <w:t>详见附件：3业绩.docx</w:t>
      </w:r>
    </w:p>
    <w:p>
      <w:pPr>
        <w:pStyle w:val="null3"/>
        <w:ind w:firstLine="960"/>
      </w:pPr>
      <w:r>
        <w:rPr>
          <w:rFonts w:ascii="仿宋_GB2312" w:hAnsi="仿宋_GB2312" w:cs="仿宋_GB2312" w:eastAsia="仿宋_GB2312"/>
        </w:rPr>
        <w:t>详见附件：4拒绝政府采购领域商业贿赂承诺书.docx</w:t>
      </w:r>
    </w:p>
    <w:p>
      <w:pPr>
        <w:pStyle w:val="null3"/>
        <w:ind w:firstLine="960"/>
      </w:pPr>
      <w:r>
        <w:rPr>
          <w:rFonts w:ascii="仿宋_GB2312" w:hAnsi="仿宋_GB2312" w:cs="仿宋_GB2312" w:eastAsia="仿宋_GB2312"/>
        </w:rPr>
        <w:t>详见附件：5法人授权书或法人身份证明.docx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