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20972"/>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7DC040F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具有独立承担民事责任的能力且具备向采购人提供相关服务的企业法人、其他组织,企业法人应提供统一社会信用代码的营业执照；其他组织应提供合法证明文件</w:t>
      </w:r>
      <w:r>
        <w:rPr>
          <w:rFonts w:hint="eastAsia" w:ascii="仿宋" w:hAnsi="仿宋" w:eastAsia="仿宋" w:cs="仿宋"/>
          <w:sz w:val="30"/>
          <w:szCs w:val="30"/>
          <w:highlight w:val="none"/>
          <w:lang w:eastAsia="zh-CN"/>
        </w:rPr>
        <w:t>。</w:t>
      </w: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bookmarkStart w:id="15" w:name="_GoBack"/>
      <w:bookmarkEnd w:id="15"/>
    </w:p>
    <w:p w14:paraId="037898CD">
      <w:pPr>
        <w:outlineLvl w:val="9"/>
        <w:rPr>
          <w:rFonts w:hint="eastAsia"/>
        </w:rPr>
      </w:pPr>
    </w:p>
    <w:p w14:paraId="79DF622F">
      <w:pPr>
        <w:pStyle w:val="27"/>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ascii="仿宋" w:hAnsi="仿宋" w:cs="仿宋"/>
          <w:b/>
          <w:bCs/>
          <w:sz w:val="28"/>
          <w:szCs w:val="28"/>
          <w:highlight w:val="none"/>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b/>
          <w:bCs/>
          <w:sz w:val="28"/>
          <w:szCs w:val="28"/>
          <w:highlight w:val="none"/>
          <w:lang w:val="en-US" w:eastAsia="zh-CN"/>
        </w:rPr>
        <w:t>2.3</w:t>
      </w:r>
      <w:r>
        <w:rPr>
          <w:rFonts w:hint="eastAsia" w:ascii="仿宋" w:hAnsi="仿宋" w:eastAsia="仿宋" w:cs="仿宋"/>
          <w:b/>
          <w:bCs/>
          <w:sz w:val="28"/>
          <w:szCs w:val="28"/>
          <w:highlight w:val="none"/>
        </w:rPr>
        <w:t>提供授权委托书中被委托人递交响应文件截止之日前连续6个月的社会保险缴纳证明（入职未满6个月，按实际入职时间提供社会保险缴纳证明；若入职时间短未缴纳社会保险，需提供劳动合同）</w:t>
      </w: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408E066E">
      <w:pPr>
        <w:pStyle w:val="12"/>
        <w:numPr>
          <w:ilvl w:val="0"/>
          <w:numId w:val="0"/>
        </w:numPr>
        <w:spacing w:after="0" w:line="360" w:lineRule="auto"/>
        <w:jc w:val="center"/>
        <w:outlineLvl w:val="3"/>
        <w:rPr>
          <w:rFonts w:hint="eastAsia" w:ascii="仿宋" w:hAnsi="仿宋" w:cs="仿宋"/>
          <w:b/>
          <w:bCs/>
          <w:kern w:val="2"/>
          <w:sz w:val="28"/>
          <w:szCs w:val="28"/>
          <w:highlight w:val="none"/>
          <w:lang w:val="en-US" w:eastAsia="zh-CN"/>
        </w:rPr>
      </w:pPr>
      <w:r>
        <w:rPr>
          <w:rFonts w:hint="eastAsia" w:ascii="仿宋" w:hAnsi="仿宋" w:cs="仿宋"/>
          <w:b/>
          <w:bCs/>
          <w:sz w:val="28"/>
          <w:szCs w:val="28"/>
          <w:highlight w:val="none"/>
        </w:rPr>
        <w:br w:type="page"/>
      </w:r>
      <w:bookmarkEnd w:id="8"/>
      <w:r>
        <w:rPr>
          <w:rFonts w:hint="eastAsia" w:ascii="仿宋" w:hAnsi="仿宋" w:cs="仿宋"/>
          <w:b/>
          <w:bCs/>
          <w:sz w:val="28"/>
          <w:szCs w:val="28"/>
          <w:highlight w:val="none"/>
          <w:lang w:val="en-US" w:eastAsia="zh-CN"/>
        </w:rPr>
        <w:t>8</w:t>
      </w:r>
      <w:r>
        <w:rPr>
          <w:rFonts w:hint="eastAsia" w:ascii="仿宋" w:hAnsi="仿宋" w:cs="仿宋"/>
          <w:b/>
          <w:bCs/>
          <w:kern w:val="2"/>
          <w:sz w:val="28"/>
          <w:szCs w:val="28"/>
          <w:highlight w:val="none"/>
          <w:lang w:val="en-US" w:eastAsia="zh-CN"/>
        </w:rPr>
        <w:t>、</w:t>
      </w:r>
      <w:r>
        <w:rPr>
          <w:rFonts w:hint="eastAsia" w:ascii="仿宋" w:hAnsi="仿宋" w:cs="仿宋"/>
          <w:b/>
          <w:bCs/>
          <w:sz w:val="28"/>
          <w:szCs w:val="28"/>
          <w:highlight w:val="none"/>
          <w:lang w:val="en-US" w:eastAsia="zh-CN"/>
        </w:rPr>
        <w:t>声明函</w:t>
      </w:r>
    </w:p>
    <w:p w14:paraId="5B78D4A7">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cs="仿宋"/>
          <w:b w:val="0"/>
          <w:bCs w:val="0"/>
          <w:kern w:val="0"/>
          <w:sz w:val="28"/>
          <w:szCs w:val="28"/>
          <w:highlight w:val="none"/>
          <w:lang w:val="en-US" w:eastAsia="zh-CN" w:bidi="ar-SA"/>
        </w:rPr>
      </w:pPr>
      <w:r>
        <w:rPr>
          <w:rFonts w:hint="eastAsia" w:ascii="仿宋" w:hAnsi="仿宋" w:eastAsia="仿宋" w:cs="仿宋"/>
          <w:b w:val="0"/>
          <w:bCs w:val="0"/>
          <w:kern w:val="0"/>
          <w:sz w:val="28"/>
          <w:szCs w:val="28"/>
          <w:highlight w:val="none"/>
          <w:lang w:val="en-US" w:eastAsia="zh-CN" w:bidi="ar-SA"/>
        </w:rPr>
        <w:t>提供《中小企业声明函》；供应商为监狱企业的，应提供监狱企业相关资格证明材料；供应商为残疾人福利性单位的，应提供《残疾人福利性单位声明函》。</w:t>
      </w:r>
    </w:p>
    <w:p w14:paraId="3015E2F3">
      <w:pPr>
        <w:keepNext w:val="0"/>
        <w:keepLines w:val="0"/>
        <w:pageBreakBefore w:val="0"/>
        <w:widowControl w:val="0"/>
        <w:tabs>
          <w:tab w:val="left" w:pos="1755"/>
        </w:tabs>
        <w:kinsoku/>
        <w:wordWrap/>
        <w:overflowPunct/>
        <w:topLinePunct w:val="0"/>
        <w:autoSpaceDE/>
        <w:autoSpaceDN/>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bookmarkStart w:id="9" w:name="_Toc30697"/>
      <w:r>
        <w:rPr>
          <w:rFonts w:hint="eastAsia" w:ascii="仿宋" w:hAnsi="仿宋" w:eastAsia="仿宋" w:cs="仿宋"/>
          <w:b/>
          <w:bCs/>
          <w:kern w:val="0"/>
          <w:sz w:val="28"/>
          <w:szCs w:val="28"/>
          <w:highlight w:val="none"/>
          <w:lang w:val="en-US" w:eastAsia="zh-CN"/>
        </w:rPr>
        <w:t>8.1</w:t>
      </w:r>
      <w:r>
        <w:rPr>
          <w:rFonts w:hint="eastAsia" w:ascii="仿宋" w:hAnsi="仿宋" w:eastAsia="仿宋" w:cs="仿宋"/>
          <w:b/>
          <w:bCs/>
          <w:kern w:val="0"/>
          <w:sz w:val="28"/>
          <w:szCs w:val="28"/>
          <w:highlight w:val="none"/>
        </w:rPr>
        <w:t>中小企业声明函</w:t>
      </w:r>
      <w:bookmarkEnd w:id="9"/>
    </w:p>
    <w:p w14:paraId="01EFB0F0">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本公司郑重声明，根据《政府采购促进中小企业发展管理办法》（财库〔2020〕46号）的规定，本公司参加（单位名称）的（项目名称）采购活动，服务全部由符合政策要求的中小企业承接。相关企业（含联合体中的中小企业、签订分包意向协议的中小企业）的具体情况如下：</w:t>
      </w:r>
    </w:p>
    <w:p w14:paraId="0B1827DD">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u w:val="single"/>
        </w:rPr>
        <w:t>（标的名称）</w:t>
      </w:r>
      <w:r>
        <w:rPr>
          <w:rFonts w:hint="eastAsia" w:ascii="仿宋" w:hAnsi="仿宋" w:eastAsia="仿宋" w:cs="仿宋"/>
          <w:sz w:val="28"/>
          <w:szCs w:val="28"/>
          <w:highlight w:val="none"/>
        </w:rPr>
        <w:t>，属于</w:t>
      </w:r>
      <w:r>
        <w:rPr>
          <w:rFonts w:hint="eastAsia" w:ascii="仿宋" w:hAnsi="仿宋" w:eastAsia="仿宋" w:cs="仿宋"/>
          <w:sz w:val="28"/>
          <w:szCs w:val="28"/>
          <w:highlight w:val="none"/>
          <w:u w:val="single"/>
        </w:rPr>
        <w:t>（其他未列明行业）</w:t>
      </w:r>
      <w:r>
        <w:rPr>
          <w:rFonts w:hint="eastAsia" w:ascii="仿宋" w:hAnsi="仿宋" w:eastAsia="仿宋" w:cs="仿宋"/>
          <w:sz w:val="28"/>
          <w:szCs w:val="28"/>
          <w:highlight w:val="none"/>
        </w:rPr>
        <w:t>；承接企业为</w:t>
      </w:r>
      <w:r>
        <w:rPr>
          <w:rFonts w:hint="eastAsia" w:ascii="仿宋" w:hAnsi="仿宋" w:eastAsia="仿宋" w:cs="仿宋"/>
          <w:sz w:val="28"/>
          <w:szCs w:val="28"/>
          <w:highlight w:val="none"/>
          <w:u w:val="single"/>
        </w:rPr>
        <w:t>（企业名称）</w:t>
      </w:r>
      <w:r>
        <w:rPr>
          <w:rFonts w:hint="eastAsia" w:ascii="仿宋" w:hAnsi="仿宋" w:eastAsia="仿宋" w:cs="仿宋"/>
          <w:sz w:val="28"/>
          <w:szCs w:val="28"/>
          <w:highlight w:val="none"/>
        </w:rPr>
        <w:t>，从业人员</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人，营业收入为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万元，资产总额为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w:t>
      </w:r>
      <w:r>
        <w:rPr>
          <w:rFonts w:hint="eastAsia" w:ascii="仿宋" w:hAnsi="仿宋" w:eastAsia="仿宋" w:cs="仿宋"/>
          <w:color w:val="000000"/>
          <w:kern w:val="0"/>
          <w:sz w:val="28"/>
          <w:szCs w:val="28"/>
          <w:highlight w:val="none"/>
          <w:vertAlign w:val="superscript"/>
          <w:lang w:bidi="ar"/>
        </w:rPr>
        <w:t>1</w:t>
      </w:r>
      <w:r>
        <w:rPr>
          <w:rFonts w:hint="eastAsia" w:ascii="仿宋" w:hAnsi="仿宋" w:eastAsia="仿宋" w:cs="仿宋"/>
          <w:sz w:val="28"/>
          <w:szCs w:val="28"/>
          <w:highlight w:val="none"/>
        </w:rPr>
        <w:t>，属于</w:t>
      </w:r>
      <w:r>
        <w:rPr>
          <w:rFonts w:hint="eastAsia" w:ascii="仿宋" w:hAnsi="仿宋" w:eastAsia="仿宋" w:cs="仿宋"/>
          <w:sz w:val="28"/>
          <w:szCs w:val="28"/>
          <w:highlight w:val="none"/>
          <w:u w:val="single"/>
        </w:rPr>
        <w:t>（中型企业、小型企业、微型企业）</w:t>
      </w:r>
      <w:r>
        <w:rPr>
          <w:rFonts w:hint="eastAsia" w:ascii="仿宋" w:hAnsi="仿宋" w:eastAsia="仿宋" w:cs="仿宋"/>
          <w:sz w:val="28"/>
          <w:szCs w:val="28"/>
          <w:highlight w:val="none"/>
        </w:rPr>
        <w:t>；</w:t>
      </w:r>
    </w:p>
    <w:p w14:paraId="763C73B7">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u w:val="single"/>
        </w:rPr>
        <w:t>（标的名称）</w:t>
      </w:r>
      <w:r>
        <w:rPr>
          <w:rFonts w:hint="eastAsia" w:ascii="仿宋" w:hAnsi="仿宋" w:eastAsia="仿宋" w:cs="仿宋"/>
          <w:sz w:val="28"/>
          <w:szCs w:val="28"/>
          <w:highlight w:val="none"/>
        </w:rPr>
        <w:t>，属于</w:t>
      </w:r>
      <w:r>
        <w:rPr>
          <w:rFonts w:hint="eastAsia" w:ascii="仿宋" w:hAnsi="仿宋" w:eastAsia="仿宋" w:cs="仿宋"/>
          <w:sz w:val="28"/>
          <w:szCs w:val="28"/>
          <w:highlight w:val="none"/>
          <w:u w:val="single"/>
        </w:rPr>
        <w:t>（其他未列明行业）</w:t>
      </w:r>
      <w:r>
        <w:rPr>
          <w:rFonts w:hint="eastAsia" w:ascii="仿宋" w:hAnsi="仿宋" w:eastAsia="仿宋" w:cs="仿宋"/>
          <w:sz w:val="28"/>
          <w:szCs w:val="28"/>
          <w:highlight w:val="none"/>
        </w:rPr>
        <w:t>；承接企业为</w:t>
      </w:r>
      <w:r>
        <w:rPr>
          <w:rFonts w:hint="eastAsia" w:ascii="仿宋" w:hAnsi="仿宋" w:eastAsia="仿宋" w:cs="仿宋"/>
          <w:sz w:val="28"/>
          <w:szCs w:val="28"/>
          <w:highlight w:val="none"/>
          <w:u w:val="single"/>
        </w:rPr>
        <w:t>（企业名称）</w:t>
      </w:r>
      <w:r>
        <w:rPr>
          <w:rFonts w:hint="eastAsia" w:ascii="仿宋" w:hAnsi="仿宋" w:eastAsia="仿宋" w:cs="仿宋"/>
          <w:sz w:val="28"/>
          <w:szCs w:val="28"/>
          <w:highlight w:val="none"/>
        </w:rPr>
        <w:t>，从业人员</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人，营业收入为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万元，资产总额为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万元，属于</w:t>
      </w:r>
      <w:r>
        <w:rPr>
          <w:rFonts w:hint="eastAsia" w:ascii="仿宋" w:hAnsi="仿宋" w:eastAsia="仿宋" w:cs="仿宋"/>
          <w:sz w:val="28"/>
          <w:szCs w:val="28"/>
          <w:highlight w:val="none"/>
          <w:u w:val="single"/>
        </w:rPr>
        <w:t>（中型企业、小型企业、微型企业）</w:t>
      </w:r>
      <w:r>
        <w:rPr>
          <w:rFonts w:hint="eastAsia" w:ascii="仿宋" w:hAnsi="仿宋" w:eastAsia="仿宋" w:cs="仿宋"/>
          <w:sz w:val="28"/>
          <w:szCs w:val="28"/>
          <w:highlight w:val="none"/>
        </w:rPr>
        <w:t>；</w:t>
      </w:r>
    </w:p>
    <w:p w14:paraId="6D8E6E5C">
      <w:pPr>
        <w:pStyle w:val="15"/>
        <w:keepNext w:val="0"/>
        <w:keepLines w:val="0"/>
        <w:pageBreakBefore w:val="0"/>
        <w:kinsoku/>
        <w:wordWrap/>
        <w:overflowPunct/>
        <w:topLinePunct w:val="0"/>
        <w:autoSpaceDE/>
        <w:bidi w:val="0"/>
        <w:adjustRightInd/>
        <w:snapToGrid/>
        <w:spacing w:after="0" w:afterLines="0"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w:t>
      </w:r>
    </w:p>
    <w:p w14:paraId="59C66C76">
      <w:pPr>
        <w:pStyle w:val="15"/>
        <w:keepNext w:val="0"/>
        <w:keepLines w:val="0"/>
        <w:pageBreakBefore w:val="0"/>
        <w:kinsoku/>
        <w:wordWrap/>
        <w:overflowPunct/>
        <w:topLinePunct w:val="0"/>
        <w:autoSpaceDE/>
        <w:bidi w:val="0"/>
        <w:adjustRightInd/>
        <w:snapToGrid/>
        <w:spacing w:after="0" w:afterLines="0" w:line="500" w:lineRule="exact"/>
        <w:ind w:left="0" w:right="0" w:firstLine="560" w:firstLineChars="200"/>
        <w:textAlignment w:val="auto"/>
        <w:outlineLvl w:val="9"/>
        <w:rPr>
          <w:rFonts w:hint="eastAsia" w:ascii="仿宋" w:hAnsi="仿宋" w:eastAsia="仿宋" w:cs="仿宋"/>
          <w:sz w:val="28"/>
          <w:szCs w:val="28"/>
          <w:highlight w:val="none"/>
        </w:rPr>
      </w:pPr>
    </w:p>
    <w:p w14:paraId="2F3BB049">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以上企业，不属于大企业的分支机构，不存在控股股东为大企业的情形，也不存在与大企业的负责人为同一人的情形。</w:t>
      </w:r>
    </w:p>
    <w:p w14:paraId="3A44CE69">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本企业对上述声明内容的真实性负责。如有虚假，将依法承担相应责任。</w:t>
      </w:r>
    </w:p>
    <w:p w14:paraId="6DE01A64">
      <w:pPr>
        <w:keepNext w:val="0"/>
        <w:keepLines w:val="0"/>
        <w:pageBreakBefore w:val="0"/>
        <w:kinsoku/>
        <w:wordWrap/>
        <w:overflowPunct/>
        <w:topLinePunct w:val="0"/>
        <w:autoSpaceDE/>
        <w:bidi w:val="0"/>
        <w:adjustRightInd/>
        <w:snapToGrid/>
        <w:spacing w:line="500" w:lineRule="exact"/>
        <w:ind w:left="0" w:right="0" w:firstLine="560" w:firstLineChars="200"/>
        <w:jc w:val="left"/>
        <w:textAlignment w:val="auto"/>
        <w:outlineLvl w:val="9"/>
        <w:rPr>
          <w:rFonts w:hint="eastAsia" w:ascii="仿宋" w:hAnsi="仿宋" w:eastAsia="仿宋" w:cs="仿宋"/>
          <w:sz w:val="28"/>
          <w:szCs w:val="28"/>
          <w:highlight w:val="none"/>
        </w:rPr>
      </w:pPr>
    </w:p>
    <w:p w14:paraId="5C510B0C">
      <w:pPr>
        <w:keepNext w:val="0"/>
        <w:keepLines w:val="0"/>
        <w:pageBreakBefore w:val="0"/>
        <w:kinsoku/>
        <w:wordWrap/>
        <w:overflowPunct/>
        <w:topLinePunct w:val="0"/>
        <w:autoSpaceDE/>
        <w:bidi w:val="0"/>
        <w:adjustRightInd/>
        <w:snapToGrid/>
        <w:spacing w:line="500" w:lineRule="exact"/>
        <w:ind w:left="0" w:right="0" w:firstLine="4200" w:firstLineChars="1500"/>
        <w:jc w:val="left"/>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kern w:val="0"/>
          <w:sz w:val="28"/>
          <w:szCs w:val="28"/>
          <w:highlight w:val="none"/>
          <w:lang w:bidi="ar"/>
        </w:rPr>
        <w:t>企业名称（盖章）：</w:t>
      </w:r>
      <w:r>
        <w:rPr>
          <w:rFonts w:hint="eastAsia" w:ascii="仿宋" w:hAnsi="仿宋" w:eastAsia="仿宋" w:cs="仿宋"/>
          <w:b/>
          <w:color w:val="000000"/>
          <w:sz w:val="28"/>
          <w:szCs w:val="28"/>
          <w:highlight w:val="none"/>
          <w:u w:val="single"/>
          <w:lang w:val="zh-CN"/>
        </w:rPr>
        <w:t xml:space="preserve">          </w:t>
      </w:r>
      <w:r>
        <w:rPr>
          <w:rFonts w:hint="eastAsia"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zh-CN"/>
        </w:rPr>
        <w:t xml:space="preserve">      </w:t>
      </w:r>
      <w:r>
        <w:rPr>
          <w:rFonts w:hint="eastAsia" w:ascii="仿宋" w:hAnsi="仿宋" w:eastAsia="仿宋" w:cs="仿宋"/>
          <w:b/>
          <w:color w:val="000000"/>
          <w:sz w:val="28"/>
          <w:szCs w:val="28"/>
          <w:highlight w:val="none"/>
          <w:u w:val="single"/>
        </w:rPr>
        <w:t xml:space="preserve">  </w:t>
      </w:r>
      <w:r>
        <w:rPr>
          <w:rFonts w:hint="eastAsia" w:ascii="仿宋" w:hAnsi="仿宋" w:eastAsia="仿宋" w:cs="仿宋"/>
          <w:color w:val="000000"/>
          <w:sz w:val="28"/>
          <w:szCs w:val="28"/>
          <w:highlight w:val="none"/>
          <w:u w:val="single"/>
        </w:rPr>
        <w:t>.</w:t>
      </w:r>
    </w:p>
    <w:p w14:paraId="4B7530BD">
      <w:pPr>
        <w:keepNext w:val="0"/>
        <w:keepLines w:val="0"/>
        <w:pageBreakBefore w:val="0"/>
        <w:kinsoku/>
        <w:wordWrap/>
        <w:overflowPunct/>
        <w:topLinePunct w:val="0"/>
        <w:autoSpaceDE/>
        <w:autoSpaceDN w:val="0"/>
        <w:bidi w:val="0"/>
        <w:adjustRightInd/>
        <w:snapToGrid/>
        <w:spacing w:line="500" w:lineRule="exact"/>
        <w:ind w:left="0" w:right="0" w:firstLine="4200" w:firstLineChars="1500"/>
        <w:jc w:val="left"/>
        <w:textAlignment w:val="auto"/>
        <w:outlineLvl w:val="9"/>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bidi="ar"/>
        </w:rPr>
        <w:t>日 期：</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年</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月</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日</w:t>
      </w:r>
    </w:p>
    <w:p w14:paraId="3DD81A4D">
      <w:pPr>
        <w:keepNext w:val="0"/>
        <w:keepLines w:val="0"/>
        <w:pageBreakBefore w:val="0"/>
        <w:kinsoku/>
        <w:wordWrap/>
        <w:overflowPunct/>
        <w:topLinePunct w:val="0"/>
        <w:autoSpaceDE/>
        <w:bidi w:val="0"/>
        <w:adjustRightInd/>
        <w:snapToGrid/>
        <w:spacing w:line="500" w:lineRule="exact"/>
        <w:ind w:left="0" w:right="0"/>
        <w:textAlignment w:val="auto"/>
        <w:outlineLvl w:val="9"/>
        <w:rPr>
          <w:rFonts w:hint="eastAsia" w:ascii="仿宋" w:hAnsi="仿宋" w:eastAsia="仿宋" w:cs="仿宋"/>
          <w:b/>
          <w:bCs/>
          <w:sz w:val="28"/>
          <w:szCs w:val="28"/>
          <w:highlight w:val="none"/>
        </w:rPr>
      </w:pPr>
    </w:p>
    <w:p w14:paraId="533B8926">
      <w:pPr>
        <w:keepNext w:val="0"/>
        <w:keepLines w:val="0"/>
        <w:pageBreakBefore w:val="0"/>
        <w:kinsoku/>
        <w:wordWrap/>
        <w:overflowPunct/>
        <w:topLinePunct w:val="0"/>
        <w:autoSpaceDE/>
        <w:bidi w:val="0"/>
        <w:adjustRightInd/>
        <w:snapToGrid/>
        <w:spacing w:line="500" w:lineRule="exact"/>
        <w:ind w:left="0" w:right="0"/>
        <w:textAlignment w:val="auto"/>
        <w:outlineLvl w:val="9"/>
        <w:rPr>
          <w:rFonts w:hint="eastAsia" w:ascii="仿宋" w:hAnsi="仿宋" w:eastAsia="仿宋" w:cs="仿宋"/>
          <w:sz w:val="28"/>
          <w:szCs w:val="28"/>
        </w:rPr>
      </w:pPr>
    </w:p>
    <w:p w14:paraId="065B8BCB">
      <w:pPr>
        <w:keepNext w:val="0"/>
        <w:keepLines w:val="0"/>
        <w:pageBreakBefore w:val="0"/>
        <w:kinsoku/>
        <w:wordWrap/>
        <w:overflowPunct/>
        <w:topLinePunct w:val="0"/>
        <w:autoSpaceDE/>
        <w:bidi w:val="0"/>
        <w:adjustRightInd/>
        <w:snapToGrid/>
        <w:spacing w:line="500" w:lineRule="exact"/>
        <w:ind w:left="0" w:right="0"/>
        <w:textAlignment w:val="auto"/>
        <w:outlineLvl w:val="9"/>
        <w:rPr>
          <w:rFonts w:hint="eastAsia" w:ascii="仿宋" w:hAnsi="仿宋" w:eastAsia="仿宋" w:cs="仿宋"/>
          <w:sz w:val="28"/>
          <w:szCs w:val="28"/>
        </w:rPr>
      </w:pPr>
    </w:p>
    <w:p w14:paraId="0EC3C5F5">
      <w:pPr>
        <w:pStyle w:val="8"/>
        <w:keepNext w:val="0"/>
        <w:keepLines w:val="0"/>
        <w:pageBreakBefore w:val="0"/>
        <w:kinsoku/>
        <w:wordWrap/>
        <w:overflowPunct/>
        <w:topLinePunct w:val="0"/>
        <w:autoSpaceDE/>
        <w:autoSpaceDN/>
        <w:bidi w:val="0"/>
        <w:adjustRightInd/>
        <w:snapToGrid/>
        <w:spacing w:line="240" w:lineRule="auto"/>
        <w:ind w:left="0" w:right="0"/>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注：非</w:t>
      </w:r>
      <w:r>
        <w:rPr>
          <w:rFonts w:hint="eastAsia" w:ascii="仿宋" w:hAnsi="仿宋" w:eastAsia="仿宋" w:cs="仿宋"/>
          <w:b/>
          <w:bCs/>
          <w:sz w:val="28"/>
          <w:szCs w:val="28"/>
          <w:highlight w:val="none"/>
          <w:lang w:eastAsia="zh-CN"/>
        </w:rPr>
        <w:t>中型、</w:t>
      </w:r>
      <w:r>
        <w:rPr>
          <w:rFonts w:hint="eastAsia" w:ascii="仿宋" w:hAnsi="仿宋" w:eastAsia="仿宋" w:cs="仿宋"/>
          <w:b/>
          <w:bCs/>
          <w:sz w:val="28"/>
          <w:szCs w:val="28"/>
          <w:highlight w:val="none"/>
        </w:rPr>
        <w:t>小型、微型企业可不填写此表。</w:t>
      </w:r>
    </w:p>
    <w:p w14:paraId="6FCA075A">
      <w:pPr>
        <w:rPr>
          <w:rFonts w:hint="eastAsia"/>
        </w:rPr>
      </w:pPr>
    </w:p>
    <w:p w14:paraId="1852227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outlineLvl w:val="9"/>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vertAlign w:val="superscript"/>
          <w:lang w:bidi="ar"/>
        </w:rPr>
        <w:t xml:space="preserve">1 </w:t>
      </w:r>
      <w:r>
        <w:rPr>
          <w:rFonts w:hint="eastAsia" w:ascii="仿宋" w:hAnsi="仿宋" w:eastAsia="仿宋" w:cs="仿宋"/>
          <w:b/>
          <w:bCs/>
          <w:kern w:val="0"/>
          <w:sz w:val="24"/>
          <w:szCs w:val="24"/>
          <w:highlight w:val="none"/>
          <w:lang w:bidi="ar"/>
        </w:rPr>
        <w:t>从业人员、营业收入、资产总额填报上一年度数据，无上一年度数据的新成立企业可不填报。</w:t>
      </w:r>
      <w:bookmarkStart w:id="10" w:name="_Toc13115"/>
      <w:bookmarkStart w:id="11" w:name="_Toc26990"/>
      <w:bookmarkStart w:id="12" w:name="_Toc32499"/>
    </w:p>
    <w:p w14:paraId="708391D4">
      <w:pPr>
        <w:keepNext w:val="0"/>
        <w:keepLines w:val="0"/>
        <w:pageBreakBefore w:val="0"/>
        <w:tabs>
          <w:tab w:val="left" w:pos="1755"/>
        </w:tabs>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b/>
          <w:bCs/>
          <w:sz w:val="28"/>
          <w:szCs w:val="28"/>
          <w:highlight w:val="none"/>
        </w:rPr>
      </w:pPr>
      <w:bookmarkStart w:id="13" w:name="_Toc30828"/>
      <w:r>
        <w:rPr>
          <w:rFonts w:hint="eastAsia" w:ascii="仿宋" w:hAnsi="仿宋" w:eastAsia="仿宋" w:cs="仿宋"/>
          <w:b/>
          <w:bCs/>
          <w:sz w:val="28"/>
          <w:szCs w:val="28"/>
          <w:highlight w:val="none"/>
          <w:lang w:val="en-US" w:eastAsia="zh-CN"/>
        </w:rPr>
        <w:t>8.2</w:t>
      </w:r>
      <w:r>
        <w:rPr>
          <w:rFonts w:hint="eastAsia" w:ascii="仿宋" w:hAnsi="仿宋" w:eastAsia="仿宋" w:cs="仿宋"/>
          <w:b/>
          <w:bCs/>
          <w:sz w:val="28"/>
          <w:szCs w:val="28"/>
          <w:highlight w:val="none"/>
        </w:rPr>
        <w:t>监狱企业相关资格证明材料</w:t>
      </w:r>
      <w:bookmarkEnd w:id="10"/>
      <w:bookmarkEnd w:id="11"/>
      <w:bookmarkEnd w:id="12"/>
      <w:bookmarkEnd w:id="13"/>
    </w:p>
    <w:p w14:paraId="5F23B62C">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609962EE">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37458626">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21583742">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5A598BA2">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004688D">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17292B65">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21780697">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529B01F5">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6FD9108">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6B1C58D">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1E9CC38">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5B603AD0">
      <w:pPr>
        <w:keepNext w:val="0"/>
        <w:keepLines w:val="0"/>
        <w:pageBreakBefore w:val="0"/>
        <w:kinsoku/>
        <w:wordWrap/>
        <w:overflowPunct/>
        <w:topLinePunct w:val="0"/>
        <w:autoSpaceDE/>
        <w:bidi w:val="0"/>
        <w:adjustRightInd/>
        <w:snapToGrid/>
        <w:spacing w:line="500" w:lineRule="exact"/>
        <w:ind w:left="0" w:right="0"/>
        <w:jc w:val="left"/>
        <w:textAlignment w:val="auto"/>
        <w:outlineLvl w:val="9"/>
        <w:rPr>
          <w:rFonts w:hint="eastAsia" w:ascii="仿宋" w:hAnsi="仿宋" w:eastAsia="仿宋" w:cs="仿宋"/>
          <w:b/>
          <w:spacing w:val="6"/>
          <w:sz w:val="28"/>
          <w:szCs w:val="28"/>
          <w:highlight w:val="none"/>
        </w:rPr>
      </w:pPr>
      <w:r>
        <w:rPr>
          <w:rFonts w:hint="eastAsia" w:ascii="仿宋" w:hAnsi="仿宋" w:eastAsia="仿宋" w:cs="仿宋"/>
          <w:b/>
          <w:spacing w:val="6"/>
          <w:sz w:val="28"/>
          <w:szCs w:val="28"/>
          <w:highlight w:val="none"/>
        </w:rPr>
        <w:t>注：非监狱企业可不填写此表。</w:t>
      </w:r>
    </w:p>
    <w:p w14:paraId="7466CD72">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b/>
          <w:bCs/>
          <w:sz w:val="28"/>
          <w:szCs w:val="28"/>
          <w:highlight w:val="none"/>
        </w:rPr>
      </w:pPr>
      <w:r>
        <w:rPr>
          <w:rFonts w:hint="eastAsia" w:ascii="仿宋" w:hAnsi="仿宋" w:eastAsia="仿宋" w:cs="仿宋"/>
          <w:sz w:val="28"/>
          <w:szCs w:val="28"/>
          <w:highlight w:val="none"/>
        </w:rPr>
        <w:br w:type="page"/>
      </w:r>
      <w:bookmarkStart w:id="14" w:name="_Toc20195"/>
      <w:r>
        <w:rPr>
          <w:rFonts w:hint="eastAsia" w:ascii="仿宋" w:hAnsi="仿宋" w:eastAsia="仿宋" w:cs="仿宋"/>
          <w:b/>
          <w:bCs/>
          <w:sz w:val="28"/>
          <w:szCs w:val="28"/>
          <w:highlight w:val="none"/>
          <w:lang w:val="en-US" w:eastAsia="zh-CN"/>
        </w:rPr>
        <w:t>8.3</w:t>
      </w:r>
      <w:r>
        <w:rPr>
          <w:rFonts w:hint="eastAsia" w:ascii="仿宋" w:hAnsi="仿宋" w:eastAsia="仿宋" w:cs="仿宋"/>
          <w:b/>
          <w:bCs/>
          <w:sz w:val="28"/>
          <w:szCs w:val="28"/>
          <w:highlight w:val="none"/>
        </w:rPr>
        <w:t>残疾人福利性单位声明函</w:t>
      </w:r>
      <w:bookmarkEnd w:id="14"/>
    </w:p>
    <w:p w14:paraId="2B80C794">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本单位郑重声明，根据《财政部 民政部 中国残疾人联合会关于促进残疾人就业政府采购政策的通知》（财库</w:t>
      </w:r>
      <w:r>
        <w:rPr>
          <w:rFonts w:hint="eastAsia" w:ascii="仿宋" w:hAnsi="仿宋" w:eastAsia="仿宋" w:cs="仿宋"/>
          <w:sz w:val="28"/>
          <w:szCs w:val="28"/>
          <w:highlight w:val="none"/>
        </w:rPr>
        <w:t>〔2017〕141</w:t>
      </w:r>
      <w:r>
        <w:rPr>
          <w:rFonts w:hint="eastAsia" w:ascii="仿宋" w:hAnsi="仿宋" w:eastAsia="仿宋" w:cs="仿宋"/>
          <w:spacing w:val="6"/>
          <w:sz w:val="28"/>
          <w:szCs w:val="28"/>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316A498">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本单位对上述声明的真实性负责。如有虚假，将依法承担相应责任。</w:t>
      </w:r>
    </w:p>
    <w:p w14:paraId="1A8F3582">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p>
    <w:p w14:paraId="6DC0ABB8">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p>
    <w:p w14:paraId="3C79C33E">
      <w:pPr>
        <w:keepNext w:val="0"/>
        <w:keepLines w:val="0"/>
        <w:pageBreakBefore w:val="0"/>
        <w:tabs>
          <w:tab w:val="left" w:pos="4860"/>
        </w:tabs>
        <w:kinsoku/>
        <w:wordWrap/>
        <w:overflowPunct/>
        <w:topLinePunct w:val="0"/>
        <w:autoSpaceDE/>
        <w:bidi w:val="0"/>
        <w:adjustRightInd/>
        <w:snapToGrid/>
        <w:spacing w:line="500" w:lineRule="exact"/>
        <w:ind w:left="0" w:right="0" w:firstLine="584" w:firstLineChars="200"/>
        <w:jc w:val="center"/>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 xml:space="preserve">               单位名称（盖章）：</w:t>
      </w:r>
    </w:p>
    <w:p w14:paraId="0EC48671">
      <w:pPr>
        <w:keepNext w:val="0"/>
        <w:keepLines w:val="0"/>
        <w:pageBreakBefore w:val="0"/>
        <w:tabs>
          <w:tab w:val="left" w:pos="4860"/>
        </w:tabs>
        <w:kinsoku/>
        <w:wordWrap/>
        <w:overflowPunct/>
        <w:topLinePunct w:val="0"/>
        <w:autoSpaceDE/>
        <w:bidi w:val="0"/>
        <w:adjustRightInd/>
        <w:snapToGrid/>
        <w:spacing w:line="500" w:lineRule="exact"/>
        <w:ind w:left="0" w:right="0" w:firstLine="584" w:firstLineChars="200"/>
        <w:jc w:val="center"/>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 xml:space="preserve">       日  期：</w:t>
      </w:r>
    </w:p>
    <w:p w14:paraId="525DB2F3">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b/>
          <w:bCs/>
          <w:sz w:val="28"/>
          <w:szCs w:val="28"/>
          <w:highlight w:val="none"/>
        </w:rPr>
      </w:pPr>
    </w:p>
    <w:p w14:paraId="13998776">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kern w:val="0"/>
          <w:sz w:val="28"/>
          <w:szCs w:val="28"/>
          <w:highlight w:val="none"/>
        </w:rPr>
      </w:pPr>
    </w:p>
    <w:p w14:paraId="2049950D">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kern w:val="0"/>
          <w:sz w:val="28"/>
          <w:szCs w:val="28"/>
          <w:highlight w:val="none"/>
        </w:rPr>
      </w:pPr>
    </w:p>
    <w:p w14:paraId="472B7400">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Style w:val="26"/>
          <w:rFonts w:hint="eastAsia" w:ascii="仿宋" w:hAnsi="仿宋" w:eastAsia="仿宋" w:cs="仿宋"/>
          <w:sz w:val="28"/>
          <w:szCs w:val="28"/>
          <w:highlight w:val="none"/>
        </w:rPr>
      </w:pPr>
    </w:p>
    <w:p w14:paraId="111BE94D">
      <w:pPr>
        <w:keepNext w:val="0"/>
        <w:keepLines w:val="0"/>
        <w:pageBreakBefore w:val="0"/>
        <w:kinsoku/>
        <w:wordWrap/>
        <w:overflowPunct/>
        <w:topLinePunct w:val="0"/>
        <w:autoSpaceDE/>
        <w:bidi w:val="0"/>
        <w:adjustRightInd/>
        <w:snapToGrid/>
        <w:spacing w:line="500" w:lineRule="exact"/>
        <w:ind w:left="0" w:right="0"/>
        <w:jc w:val="left"/>
        <w:textAlignment w:val="auto"/>
        <w:outlineLvl w:val="9"/>
        <w:rPr>
          <w:rFonts w:hint="eastAsia" w:ascii="仿宋" w:hAnsi="仿宋" w:eastAsia="仿宋" w:cs="仿宋"/>
          <w:b/>
          <w:spacing w:val="6"/>
          <w:sz w:val="28"/>
          <w:szCs w:val="28"/>
          <w:highlight w:val="none"/>
        </w:rPr>
      </w:pPr>
      <w:r>
        <w:rPr>
          <w:rFonts w:hint="eastAsia" w:ascii="仿宋" w:hAnsi="仿宋" w:eastAsia="仿宋" w:cs="仿宋"/>
          <w:b/>
          <w:spacing w:val="6"/>
          <w:sz w:val="28"/>
          <w:szCs w:val="28"/>
          <w:highlight w:val="none"/>
        </w:rPr>
        <w:t>注：非残疾人福利性单位可不填写此表。</w:t>
      </w:r>
    </w:p>
    <w:p w14:paraId="388478E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275F2E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0A3365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8F6C7E3">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0EAEA37">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63F0B22">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4E73D3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D016EE">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7F3790">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1AFFDA8C">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BB293F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34505D0">
      <w:pPr>
        <w:numPr>
          <w:ilvl w:val="0"/>
          <w:numId w:val="0"/>
        </w:numPr>
        <w:jc w:val="center"/>
        <w:outlineLvl w:val="3"/>
        <w:rPr>
          <w:rFonts w:hint="eastAsia" w:ascii="仿宋" w:hAnsi="仿宋" w:eastAsia="仿宋" w:cs="仿宋"/>
          <w:b/>
          <w:bCs/>
          <w:sz w:val="28"/>
          <w:szCs w:val="28"/>
          <w:lang w:val="en-US" w:eastAsia="zh-CN"/>
        </w:rPr>
      </w:pPr>
      <w:r>
        <w:rPr>
          <w:rFonts w:hint="eastAsia" w:ascii="仿宋" w:hAnsi="仿宋" w:eastAsia="仿宋" w:cs="仿宋"/>
          <w:b/>
          <w:bCs/>
          <w:kern w:val="2"/>
          <w:sz w:val="28"/>
          <w:szCs w:val="28"/>
          <w:lang w:val="en-US" w:eastAsia="zh-CN" w:bidi="ar-SA"/>
        </w:rPr>
        <w:t>9、本项目不接受联合体投标</w:t>
      </w:r>
    </w:p>
    <w:p w14:paraId="43B0545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提供非联合体的声明。</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6C1CE9"/>
    <w:rsid w:val="509E2BB8"/>
    <w:rsid w:val="544312F1"/>
    <w:rsid w:val="546957A6"/>
    <w:rsid w:val="56F96F3B"/>
    <w:rsid w:val="58552A97"/>
    <w:rsid w:val="5A445682"/>
    <w:rsid w:val="5C500C83"/>
    <w:rsid w:val="5C5F2669"/>
    <w:rsid w:val="5D2F1960"/>
    <w:rsid w:val="5D430091"/>
    <w:rsid w:val="5E187160"/>
    <w:rsid w:val="5E927905"/>
    <w:rsid w:val="62AB062D"/>
    <w:rsid w:val="63C435F8"/>
    <w:rsid w:val="64875004"/>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993</Words>
  <Characters>1003</Characters>
  <Lines>0</Lines>
  <Paragraphs>0</Paragraphs>
  <TotalTime>0</TotalTime>
  <ScaleCrop>false</ScaleCrop>
  <LinksUpToDate>false</LinksUpToDate>
  <CharactersWithSpaces>1583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2025-04-29T08:36:28Z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