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版本号：KY2025-1-41920250429001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2025年陕西省西部计划志愿者商业保险采购项目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KY2025-1-419</w:t>
      </w:r>
      <w:r>
        <w:br/>
      </w:r>
      <w:r>
        <w:br/>
      </w:r>
      <w:r>
        <w:br/>
      </w:r>
    </w:p>
    <w:p>
      <w:pPr>
        <w:pStyle w:val="null3"/>
        <w:jc w:val="center"/>
        <w:outlineLvl w:val="2"/>
      </w:pPr>
      <w:r>
        <w:rPr>
          <w:rFonts w:ascii="仿宋_GB2312" w:hAnsi="仿宋_GB2312" w:cs="仿宋_GB2312" w:eastAsia="仿宋_GB2312"/>
          <w:sz w:val="28"/>
          <w:b/>
        </w:rPr>
        <w:t>团省委机关</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团省委机关</w:t>
      </w:r>
      <w:r>
        <w:rPr>
          <w:rFonts w:ascii="仿宋_GB2312" w:hAnsi="仿宋_GB2312" w:cs="仿宋_GB2312" w:eastAsia="仿宋_GB2312"/>
        </w:rPr>
        <w:t>委托，拟对</w:t>
      </w:r>
      <w:r>
        <w:rPr>
          <w:rFonts w:ascii="仿宋_GB2312" w:hAnsi="仿宋_GB2312" w:cs="仿宋_GB2312" w:eastAsia="仿宋_GB2312"/>
        </w:rPr>
        <w:t>2025年陕西省西部计划志愿者商业保险采购项目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KY2025-1-419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2025年陕西省西部计划志愿者商业保险采购项目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中国共产主义青年团陕西省委员会2025年陕西省西部计划志愿者商业保险采购项目，1项，具体内容详见采购文件第3章。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依法注册的保险公司省级分公司,或由省级分公司授权的分支机构。参与本项目磋商的机构需持有省级分公司的唯一授权并全权代表其参与本项目磋商，同一保险企业法人下的不同分支机构同时参与此次磋商将不予受理。</w:t>
      </w:r>
    </w:p>
    <w:p>
      <w:pPr>
        <w:pStyle w:val="null3"/>
      </w:pPr>
      <w:r>
        <w:rPr>
          <w:rFonts w:ascii="仿宋_GB2312" w:hAnsi="仿宋_GB2312" w:cs="仿宋_GB2312" w:eastAsia="仿宋_GB2312"/>
        </w:rPr>
        <w:t>2、授权书：法定代表人或分公司负责人证明书及法定代表人或分公司负责人授权书。（法定代表人或分公司负责人直接磋商只须提交其身份证明）。</w:t>
      </w:r>
    </w:p>
    <w:p>
      <w:pPr>
        <w:pStyle w:val="null3"/>
      </w:pPr>
      <w:r>
        <w:rPr>
          <w:rFonts w:ascii="仿宋_GB2312" w:hAnsi="仿宋_GB2312" w:cs="仿宋_GB2312" w:eastAsia="仿宋_GB2312"/>
        </w:rPr>
        <w:t>3、经营保险业务许可证：供应商具有中国银行保险监督管理委员会颁发的经营保险业务许可证。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团省委机关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西安市红缨路158号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029-88401563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采购包1：505,750.00元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银行账号：86113010750181501004227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不足捌仟按捌仟收取。 2、本项目代理服务费按服务计取。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团省委机关</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团省委机关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团省委机关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1、磋商文件、响应文件、澄清表（函）； 2、合同及附件文本；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联系人：尚娇、刘金柯</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中国共产主义青年团陕西省委员会2025年陕西省西部计划志愿者商业保险采购项目，1项，具体内容详见服务要求。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505,750.00</w:t>
      </w:r>
    </w:p>
    <w:p>
      <w:pPr>
        <w:pStyle w:val="null3"/>
      </w:pPr>
      <w:r>
        <w:rPr>
          <w:rFonts w:ascii="仿宋_GB2312" w:hAnsi="仿宋_GB2312" w:cs="仿宋_GB2312" w:eastAsia="仿宋_GB2312"/>
        </w:rPr>
        <w:t>采购包最高限价（元）: 505,750.00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保险服务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505,750.00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标的名称：保险服务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120"/>
              <w:jc w:val="both"/>
            </w:pPr>
            <w:r>
              <w:rPr>
                <w:rFonts w:ascii="仿宋_GB2312" w:hAnsi="仿宋_GB2312" w:cs="仿宋_GB2312" w:eastAsia="仿宋_GB2312"/>
                <w:sz w:val="24"/>
                <w:b/>
              </w:rPr>
              <w:t>一．技术要求</w:t>
            </w:r>
          </w:p>
          <w:p>
            <w:pPr>
              <w:pStyle w:val="null3"/>
              <w:ind w:firstLine="120"/>
              <w:jc w:val="both"/>
            </w:pPr>
            <w:r>
              <w:rPr>
                <w:rFonts w:ascii="仿宋_GB2312" w:hAnsi="仿宋_GB2312" w:cs="仿宋_GB2312" w:eastAsia="仿宋_GB2312"/>
                <w:sz w:val="24"/>
              </w:rPr>
              <w:t>1、保险人数: 1445人</w:t>
            </w:r>
          </w:p>
          <w:p>
            <w:pPr>
              <w:pStyle w:val="null3"/>
              <w:ind w:firstLine="120"/>
              <w:jc w:val="both"/>
            </w:pPr>
            <w:r>
              <w:rPr>
                <w:rFonts w:ascii="仿宋_GB2312" w:hAnsi="仿宋_GB2312" w:cs="仿宋_GB2312" w:eastAsia="仿宋_GB2312"/>
                <w:sz w:val="24"/>
              </w:rPr>
              <w:t>2</w:t>
            </w:r>
            <w:r>
              <w:rPr>
                <w:rFonts w:ascii="仿宋_GB2312" w:hAnsi="仿宋_GB2312" w:cs="仿宋_GB2312" w:eastAsia="仿宋_GB2312"/>
                <w:sz w:val="24"/>
              </w:rPr>
              <w:t>、保险期限：一年</w:t>
            </w:r>
          </w:p>
          <w:p>
            <w:pPr>
              <w:pStyle w:val="null3"/>
              <w:ind w:firstLine="120"/>
              <w:jc w:val="both"/>
            </w:pPr>
            <w:r>
              <w:rPr>
                <w:rFonts w:ascii="仿宋_GB2312" w:hAnsi="仿宋_GB2312" w:cs="仿宋_GB2312" w:eastAsia="仿宋_GB2312"/>
                <w:sz w:val="24"/>
                <w:b/>
              </w:rPr>
              <w:t>二．技术指标及要求</w:t>
            </w:r>
          </w:p>
          <w:tbl>
            <w:tblPr>
              <w:tblInd w:type="dxa" w:w="120"/>
              <w:tblBorders>
                <w:top w:val="none" w:color="000000" w:sz="4"/>
                <w:left w:val="none" w:color="000000" w:sz="4"/>
                <w:bottom w:val="none" w:color="000000" w:sz="4"/>
                <w:right w:val="none" w:color="000000" w:sz="4"/>
                <w:insideH w:val="none"/>
                <w:insideV w:val="none"/>
              </w:tblBorders>
            </w:tblPr>
            <w:tblGrid>
              <w:gridCol w:w="573"/>
              <w:gridCol w:w="507"/>
              <w:gridCol w:w="507"/>
              <w:gridCol w:w="781"/>
              <w:gridCol w:w="781"/>
              <w:gridCol w:w="644"/>
            </w:tblGrid>
            <w:tr>
              <w:tc>
                <w:tcPr>
                  <w:tcW w:type="dxa" w:w="5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保障项目</w:t>
                  </w:r>
                </w:p>
              </w:tc>
              <w:tc>
                <w:tcPr>
                  <w:tcW w:type="dxa" w:w="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保赔额度</w:t>
                  </w:r>
                </w:p>
              </w:tc>
              <w:tc>
                <w:tcPr>
                  <w:tcW w:type="dxa" w:w="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免赔额</w:t>
                  </w:r>
                </w:p>
              </w:tc>
              <w:tc>
                <w:tcPr>
                  <w:tcW w:type="dxa" w:w="7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给付比例</w:t>
                  </w:r>
                </w:p>
              </w:tc>
              <w:tc>
                <w:tcPr>
                  <w:tcW w:type="dxa" w:w="7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保险服务人群数量</w:t>
                  </w:r>
                </w:p>
              </w:tc>
              <w:tc>
                <w:tcPr>
                  <w:tcW w:type="dxa" w:w="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单人</w:t>
                  </w:r>
                </w:p>
                <w:p>
                  <w:pPr>
                    <w:pStyle w:val="null3"/>
                    <w:jc w:val="center"/>
                  </w:pPr>
                  <w:r>
                    <w:rPr>
                      <w:rFonts w:ascii="仿宋_GB2312" w:hAnsi="仿宋_GB2312" w:cs="仿宋_GB2312" w:eastAsia="仿宋_GB2312"/>
                      <w:sz w:val="24"/>
                    </w:rPr>
                    <w:t>保费</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意外身故</w:t>
                  </w:r>
                </w:p>
              </w:tc>
              <w:tc>
                <w:tcPr>
                  <w:tcW w:type="dxa" w:w="5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≥50万元</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7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1445人</w:t>
                  </w: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350元</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疾病身故</w:t>
                  </w:r>
                </w:p>
              </w:tc>
              <w:tc>
                <w:tcPr>
                  <w:tcW w:type="dxa" w:w="507"/>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w:t>
                  </w:r>
                </w:p>
              </w:tc>
              <w:tc>
                <w:tcPr>
                  <w:tcW w:type="dxa" w:w="78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781"/>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意外伤残</w:t>
                  </w:r>
                </w:p>
              </w:tc>
              <w:tc>
                <w:tcPr>
                  <w:tcW w:type="dxa" w:w="507"/>
                  <w:vMerge/>
                  <w:tcBorders>
                    <w:top w:val="none" w:color="000000" w:sz="4"/>
                    <w:left w:val="none" w:color="000000" w:sz="4"/>
                    <w:bottom w:val="single" w:color="000000" w:sz="4"/>
                    <w:right w:val="single" w:color="000000" w:sz="4"/>
                  </w:tcBorders>
                </w:tcPr>
                <w:p/>
              </w:tc>
              <w:tc>
                <w:tcPr>
                  <w:tcW w:type="dxa" w:w="12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按伤残程度给付</w:t>
                  </w:r>
                </w:p>
              </w:tc>
              <w:tc>
                <w:tcPr>
                  <w:tcW w:type="dxa" w:w="781"/>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住院医疗</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≥5万元</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0元</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781"/>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bl>
          <w:p>
            <w:pPr>
              <w:pStyle w:val="null3"/>
              <w:ind w:firstLine="120"/>
              <w:jc w:val="both"/>
            </w:pPr>
            <w:r>
              <w:rPr>
                <w:rFonts w:ascii="仿宋_GB2312" w:hAnsi="仿宋_GB2312" w:cs="仿宋_GB2312" w:eastAsia="仿宋_GB2312"/>
                <w:sz w:val="24"/>
              </w:rPr>
              <w:t>（</w:t>
            </w:r>
            <w:r>
              <w:rPr>
                <w:rFonts w:ascii="仿宋_GB2312" w:hAnsi="仿宋_GB2312" w:cs="仿宋_GB2312" w:eastAsia="仿宋_GB2312"/>
                <w:sz w:val="24"/>
              </w:rPr>
              <w:t>1）意外身故保险金：</w:t>
            </w:r>
          </w:p>
          <w:p>
            <w:pPr>
              <w:pStyle w:val="null3"/>
              <w:ind w:firstLine="480"/>
              <w:jc w:val="both"/>
            </w:pPr>
            <w:r>
              <w:rPr>
                <w:rFonts w:ascii="仿宋_GB2312" w:hAnsi="仿宋_GB2312" w:cs="仿宋_GB2312" w:eastAsia="仿宋_GB2312"/>
                <w:sz w:val="24"/>
              </w:rPr>
              <w:t>在保险责任有效期内，被保险人因意外伤害身故，保险人按其保险金额给付意外身故保险金。</w:t>
            </w:r>
          </w:p>
          <w:p>
            <w:pPr>
              <w:pStyle w:val="null3"/>
              <w:ind w:firstLine="120"/>
              <w:jc w:val="both"/>
            </w:pPr>
            <w:r>
              <w:rPr>
                <w:rFonts w:ascii="仿宋_GB2312" w:hAnsi="仿宋_GB2312" w:cs="仿宋_GB2312" w:eastAsia="仿宋_GB2312"/>
                <w:sz w:val="24"/>
              </w:rPr>
              <w:t>（</w:t>
            </w:r>
            <w:r>
              <w:rPr>
                <w:rFonts w:ascii="仿宋_GB2312" w:hAnsi="仿宋_GB2312" w:cs="仿宋_GB2312" w:eastAsia="仿宋_GB2312"/>
                <w:sz w:val="24"/>
              </w:rPr>
              <w:t>2）疾病身故保险金：</w:t>
            </w:r>
          </w:p>
          <w:p>
            <w:pPr>
              <w:pStyle w:val="null3"/>
              <w:ind w:firstLine="480"/>
              <w:jc w:val="both"/>
            </w:pPr>
            <w:r>
              <w:rPr>
                <w:rFonts w:ascii="仿宋_GB2312" w:hAnsi="仿宋_GB2312" w:cs="仿宋_GB2312" w:eastAsia="仿宋_GB2312"/>
                <w:sz w:val="24"/>
              </w:rPr>
              <w:t>在保险责任有效期内，被保险人因疾病身故，保险人按其保险金额给付疾病身故保险金。</w:t>
            </w:r>
          </w:p>
          <w:p>
            <w:pPr>
              <w:pStyle w:val="null3"/>
              <w:ind w:firstLine="120"/>
              <w:jc w:val="both"/>
            </w:pPr>
            <w:r>
              <w:rPr>
                <w:rFonts w:ascii="仿宋_GB2312" w:hAnsi="仿宋_GB2312" w:cs="仿宋_GB2312" w:eastAsia="仿宋_GB2312"/>
                <w:sz w:val="24"/>
              </w:rPr>
              <w:t>（</w:t>
            </w:r>
            <w:r>
              <w:rPr>
                <w:rFonts w:ascii="仿宋_GB2312" w:hAnsi="仿宋_GB2312" w:cs="仿宋_GB2312" w:eastAsia="仿宋_GB2312"/>
                <w:sz w:val="24"/>
              </w:rPr>
              <w:t>3）意外伤残保险金：</w:t>
            </w:r>
          </w:p>
          <w:p>
            <w:pPr>
              <w:pStyle w:val="null3"/>
              <w:ind w:firstLine="480"/>
              <w:jc w:val="both"/>
            </w:pPr>
            <w:r>
              <w:rPr>
                <w:rFonts w:ascii="仿宋_GB2312" w:hAnsi="仿宋_GB2312" w:cs="仿宋_GB2312" w:eastAsia="仿宋_GB2312"/>
                <w:sz w:val="24"/>
              </w:rPr>
              <w:t>在保险责任有效期内，被保险人遭受意外伤害，并自该意外伤害发生之日起一百八十日内因该意外伤害导致身体伤残的，根据比例给付伤残保险金。</w:t>
            </w:r>
          </w:p>
          <w:p>
            <w:pPr>
              <w:pStyle w:val="null3"/>
              <w:ind w:firstLine="120"/>
              <w:jc w:val="both"/>
            </w:pPr>
            <w:r>
              <w:rPr>
                <w:rFonts w:ascii="仿宋_GB2312" w:hAnsi="仿宋_GB2312" w:cs="仿宋_GB2312" w:eastAsia="仿宋_GB2312"/>
                <w:sz w:val="24"/>
              </w:rPr>
              <w:t>（</w:t>
            </w:r>
            <w:r>
              <w:rPr>
                <w:rFonts w:ascii="仿宋_GB2312" w:hAnsi="仿宋_GB2312" w:cs="仿宋_GB2312" w:eastAsia="仿宋_GB2312"/>
                <w:sz w:val="24"/>
              </w:rPr>
              <w:t>4）住院医疗保险金：</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在保险责任有效期内，被保险人因意外伤害或疾病，在二级以上（含二级）医院或保险公司认可的其他医疗机构实际支出的、并在当地社会医疗保险部门规定的基本医疗保险范围内住院医疗费用，保险公司在保险金额约定范围内，保险人对每次就诊按照免赔</w:t>
            </w:r>
            <w:r>
              <w:rPr>
                <w:rFonts w:ascii="仿宋_GB2312" w:hAnsi="仿宋_GB2312" w:cs="仿宋_GB2312" w:eastAsia="仿宋_GB2312"/>
                <w:sz w:val="24"/>
              </w:rPr>
              <w:t>0元，100%比例赔付。若被保险人已经从当地社会基本医疗保险、公费医疗或其他途径获得补偿，保险公司仅按剩余部分进行给付。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自合同签订之日起365日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中国共产主义青年团陕西省委员会指定地点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1、磋商文件、响应文件、澄清表（函）； 2、合同及附件文本；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（1）结算单位：采购单位据实结算；（2）付款方式：一次性支付，成交单位出具正式保险单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1、成交供应商领取成交通知书时，提交纸质响应文件正本壹份、副本贰份、电子版壹份（U盘壹份注明单位名称），自行编辑目录和页码，内容和通过电子化交易平台实施的政府采购项目提交的响应文件一致。 2、纸质响应文件正副本分别胶装。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依法注册的保险公司省级分公司,或由省级分公司授权的分支机构。参与本项目磋商的机构需持有省级分公司的唯一授权并全权代表其参与本项目磋商，同一保险企业法人下的不同分支机构同时参与此次磋商将不予受理。</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法定代表人或分公司负责人证明书及法定代表人或分公司负责人授权书。（法定代表人或分公司负责人直接磋商只须提交其身份证明）。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经营保险业务许可证</w:t>
            </w:r>
          </w:p>
        </w:tc>
        <w:tc>
          <w:tcPr>
            <w:tcW w:type="dxa" w:w="3322"/>
          </w:tcPr>
          <w:p>
            <w:pPr>
              <w:pStyle w:val="null3"/>
            </w:pPr>
            <w:r>
              <w:rPr>
                <w:rFonts w:ascii="仿宋_GB2312" w:hAnsi="仿宋_GB2312" w:cs="仿宋_GB2312" w:eastAsia="仿宋_GB2312"/>
              </w:rPr>
              <w:t>供应商具有中国银行保险监督管理委员会颁发的经营保险业务许可证。</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响应报价表、分项报价表.docx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响应报价表、分项报价表.docx 中小企业声明函 残疾人福利性单位声明函 保证金交纳凭证.docx 标的清单 响应函 供应商承诺书.docx 监狱企业的证明文件 商务条款响应说明.docx 服务应答表.docx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响应文件封面 响应报价表、分项报价表.docx 中小企业声明函 残疾人福利性单位声明函 保证金交纳凭证.docx 标的清单 响应函 供应商承诺书.docx 监狱企业的证明文件 商务条款响应说明.docx 服务应答表.docx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保证金交纳凭证.docx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响应报价表、分项报价表.docx 中小企业声明函 残疾人福利性单位声明函 保证金交纳凭证.docx 标的清单 响应函 供应商承诺书.docx 监狱企业的证明文件 商务条款响应说明.docx 服务应答表.docx 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1、本项目的单价为固定报价，不得增减，如有增减，则按无效文件处理。 2、响应单位对被保人保额承诺情况不得低于技术指标及要求，其中有一条不满足，则按无效响应处理。</w:t>
            </w:r>
          </w:p>
        </w:tc>
        <w:tc>
          <w:tcPr>
            <w:tcW w:type="dxa" w:w="1661"/>
          </w:tcPr>
          <w:p>
            <w:pPr>
              <w:pStyle w:val="null3"/>
            </w:pPr>
            <w:r>
              <w:rPr>
                <w:rFonts w:ascii="仿宋_GB2312" w:hAnsi="仿宋_GB2312" w:cs="仿宋_GB2312" w:eastAsia="仿宋_GB2312"/>
              </w:rPr>
              <w:t>响应报价表、分项报价表.docx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供应商提供针对本项目承保服务和理赔服务的人员配备、组织构架、实施计划、应急预案。 1、组织实施计划合理、结构清晰、项目组成人员职责任务明确、人员数量和人员专业结构配备合理，满足本项目要求，计15分； 2、组织实施计划较合理、结构较清晰、项目组成人员职责任务较明确、人员数量和人员专业结构配备较合理，满足本项目要求，计12分； 3、组织实施计划和人员配备基本全面、清晰，基本满足项目要求，计9分； 4、组织实施计划和人员配备一般，计6分； 5、组织实施计划和人员配备不合理，计3分； 6、未提供不计分。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保额方案</w:t>
            </w:r>
          </w:p>
        </w:tc>
        <w:tc>
          <w:tcPr>
            <w:tcW w:type="dxa" w:w="2492"/>
          </w:tcPr>
          <w:p>
            <w:pPr>
              <w:pStyle w:val="null3"/>
            </w:pPr>
            <w:r>
              <w:rPr>
                <w:rFonts w:ascii="仿宋_GB2312" w:hAnsi="仿宋_GB2312" w:cs="仿宋_GB2312" w:eastAsia="仿宋_GB2312"/>
              </w:rPr>
              <w:t>供应商对被保人保额承诺情况在技术要求基础上，承诺科学、合理、针对性强计5分；承诺较为合理、基本可行计3分；承诺一般、可行性不足，计1分；未提供不计分。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增值方案</w:t>
            </w:r>
          </w:p>
        </w:tc>
        <w:tc>
          <w:tcPr>
            <w:tcW w:type="dxa" w:w="2492"/>
          </w:tcPr>
          <w:p>
            <w:pPr>
              <w:pStyle w:val="null3"/>
            </w:pPr>
            <w:r>
              <w:rPr>
                <w:rFonts w:ascii="仿宋_GB2312" w:hAnsi="仿宋_GB2312" w:cs="仿宋_GB2312" w:eastAsia="仿宋_GB2312"/>
              </w:rPr>
              <w:t>供应商针对本项目提供增值项目，根据响应程度进行赋分。 1、增值服务方案内容全面、合理、针对性强、架构清晰完整，计20分； 2、增值服务方案内容完整，合理性、针对性较强、架构较为清晰完整，计15分； 3、增值服务方案内容基本合理，架构基本清晰，具有针对性，计10分； 4、增值服务方案具有合理性但针对性不强、架构不够清晰，计5分； 5、增值服务方案内容无合理性及针对性、架构模糊，计1分； 6、未提供不计分。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服务保证机制</w:t>
            </w:r>
          </w:p>
        </w:tc>
        <w:tc>
          <w:tcPr>
            <w:tcW w:type="dxa" w:w="2492"/>
          </w:tcPr>
          <w:p>
            <w:pPr>
              <w:pStyle w:val="null3"/>
            </w:pPr>
            <w:r>
              <w:rPr>
                <w:rFonts w:ascii="仿宋_GB2312" w:hAnsi="仿宋_GB2312" w:cs="仿宋_GB2312" w:eastAsia="仿宋_GB2312"/>
              </w:rPr>
              <w:t>1、供应商设有固定的分支机构可覆盖陕西省范围进行属地服务。供应商需提供行政区域分支机构明细和对应的有效营业执照复印件、经营保险业务许可证复印件并加盖公章。 按供应商其省内有效网点数量进行评分， 排名第一的计15分，排名第二的计10分，排名第三计5分，其余不计分。 2、对项目执行过程中的质量保证、沟通途径有明确说明，对服务态度、服务质量较差的业务人员制定具体的处罚办法。 （1）内容科学、合理、针对性强计5分； （2）内容基本合理、可行计3分； （3）内容一般、可行一般计1分； （4）未提供不计分。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供应商提供2022年1月1日至今类似项目业绩（类似项目是指政府为特定人群采购的人身保险，以协议或中标通知书的复印件加盖公章为准）；每提供1个计1分，最多计25分，无业绩不计分。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1、本次项目的单价为固定报价，不得增减，如有增减，则按无效文件处理。 2、响应单位对被保人保额承诺情况不得低于技术指标及要求，其中有一条不满足，则按无效投标处理。 满足以上两项者则计15分。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响应报价表、分项报价表.docx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（2）根据《财政部民政部中国残疾人联合会关于促进残疾人就业政府采购政策的通知》（财库〔2017〕141号）的规定，对符合条件的残疾人福利性单位产品的价格给予10%的扣除，用扣除后的价格参与评审。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响应报价表、分项报价表.docx 残疾人福利性单位声明函 中小企业声明函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详见附件：响应报价表、分项报价表.docx</w:t>
      </w:r>
    </w:p>
    <w:p>
      <w:pPr>
        <w:pStyle w:val="null3"/>
        <w:ind w:firstLine="960"/>
      </w:pPr>
      <w:r>
        <w:rPr>
          <w:rFonts w:ascii="仿宋_GB2312" w:hAnsi="仿宋_GB2312" w:cs="仿宋_GB2312" w:eastAsia="仿宋_GB2312"/>
        </w:rPr>
        <w:t>详见附件：服务应答表.docx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